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jc w:val="left"/>
        <w:rPr>
          <w:rFonts w:eastAsia="仿宋_GB2312"/>
          <w:color w:val="auto"/>
        </w:rPr>
      </w:pPr>
    </w:p>
    <w:p>
      <w:pPr>
        <w:pStyle w:val="6"/>
        <w:shd w:val="clear" w:color="auto" w:fill="FFFFFF"/>
        <w:spacing w:line="360" w:lineRule="auto"/>
        <w:jc w:val="center"/>
        <w:rPr>
          <w:rFonts w:hint="eastAsia" w:ascii="方正小标宋_GBK" w:hAnsi="Times New Roman" w:eastAsia="方正小标宋_GBK"/>
          <w:color w:val="auto"/>
          <w:sz w:val="52"/>
          <w:szCs w:val="52"/>
          <w:shd w:val="clear" w:color="auto" w:fill="FFFFFF"/>
        </w:rPr>
      </w:pPr>
    </w:p>
    <w:p>
      <w:pPr>
        <w:pStyle w:val="6"/>
        <w:shd w:val="clear" w:color="auto" w:fill="FFFFFF"/>
        <w:jc w:val="right"/>
        <w:rPr>
          <w:rFonts w:ascii="Times New Roman" w:hAnsi="Times New Roman" w:eastAsia="仿宋_GB2312"/>
          <w:color w:val="auto"/>
          <w:kern w:val="0"/>
          <w:sz w:val="20"/>
          <w:szCs w:val="20"/>
        </w:rPr>
      </w:pPr>
      <w:bookmarkStart w:id="8" w:name="_GoBack"/>
      <w:bookmarkEnd w:id="8"/>
      <w:r>
        <w:rPr>
          <w:rFonts w:ascii="Times New Roman" w:hAnsi="Times New Roman" w:eastAsia="仿宋_GB2312"/>
          <w:color w:val="auto"/>
          <w:kern w:val="0"/>
          <w:sz w:val="24"/>
        </w:rPr>
        <w:t xml:space="preserve">              </w:t>
      </w:r>
      <w:r>
        <w:rPr>
          <w:rFonts w:hint="eastAsia" w:ascii="Times New Roman" w:hAnsi="Times New Roman" w:eastAsia="仿宋_GB2312"/>
          <w:color w:val="auto"/>
          <w:kern w:val="0"/>
          <w:sz w:val="24"/>
        </w:rPr>
        <w:t xml:space="preserve">                                                           </w:t>
      </w:r>
    </w:p>
    <w:p>
      <w:pPr>
        <w:widowControl/>
        <w:jc w:val="center"/>
        <w:rPr>
          <w:rFonts w:eastAsia="方正小标宋_GBK"/>
          <w:bCs/>
          <w:color w:val="auto"/>
          <w:kern w:val="0"/>
          <w:sz w:val="36"/>
          <w:szCs w:val="36"/>
        </w:rPr>
      </w:pPr>
    </w:p>
    <w:p>
      <w:pPr>
        <w:widowControl/>
        <w:jc w:val="center"/>
        <w:rPr>
          <w:rFonts w:eastAsia="方正小标宋_GBK"/>
          <w:bCs/>
          <w:color w:val="auto"/>
          <w:kern w:val="0"/>
          <w:sz w:val="36"/>
          <w:szCs w:val="36"/>
        </w:rPr>
      </w:pPr>
      <w:r>
        <w:rPr>
          <w:rFonts w:eastAsia="方正小标宋_GBK"/>
          <w:bCs/>
          <w:color w:val="auto"/>
          <w:kern w:val="0"/>
          <w:sz w:val="36"/>
          <w:szCs w:val="36"/>
        </w:rPr>
        <w:t>采购清单及预算（服务类）</w:t>
      </w:r>
    </w:p>
    <w:tbl>
      <w:tblPr>
        <w:tblStyle w:val="11"/>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69"/>
        <w:gridCol w:w="6692"/>
        <w:gridCol w:w="1408"/>
        <w:gridCol w:w="1063"/>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3" w:type="dxa"/>
            <w:vAlign w:val="center"/>
          </w:tcPr>
          <w:p>
            <w:pPr>
              <w:widowControl/>
              <w:jc w:val="center"/>
              <w:rPr>
                <w:rFonts w:eastAsia="黑体"/>
                <w:color w:val="auto"/>
                <w:kern w:val="0"/>
                <w:sz w:val="24"/>
              </w:rPr>
            </w:pPr>
            <w:r>
              <w:rPr>
                <w:rFonts w:eastAsia="黑体"/>
                <w:color w:val="auto"/>
                <w:kern w:val="0"/>
                <w:sz w:val="24"/>
              </w:rPr>
              <w:t>序号</w:t>
            </w:r>
          </w:p>
        </w:tc>
        <w:tc>
          <w:tcPr>
            <w:tcW w:w="1969" w:type="dxa"/>
            <w:vAlign w:val="center"/>
          </w:tcPr>
          <w:p>
            <w:pPr>
              <w:widowControl/>
              <w:jc w:val="center"/>
              <w:rPr>
                <w:rFonts w:eastAsia="黑体"/>
                <w:color w:val="auto"/>
                <w:kern w:val="0"/>
                <w:sz w:val="24"/>
              </w:rPr>
            </w:pPr>
            <w:r>
              <w:rPr>
                <w:rFonts w:eastAsia="黑体"/>
                <w:color w:val="auto"/>
                <w:kern w:val="0"/>
                <w:sz w:val="24"/>
              </w:rPr>
              <w:t>服务名目</w:t>
            </w:r>
          </w:p>
        </w:tc>
        <w:tc>
          <w:tcPr>
            <w:tcW w:w="6692" w:type="dxa"/>
            <w:vAlign w:val="center"/>
          </w:tcPr>
          <w:p>
            <w:pPr>
              <w:widowControl/>
              <w:jc w:val="center"/>
              <w:rPr>
                <w:rFonts w:eastAsia="黑体"/>
                <w:color w:val="auto"/>
                <w:kern w:val="0"/>
                <w:sz w:val="24"/>
              </w:rPr>
            </w:pPr>
            <w:r>
              <w:rPr>
                <w:rFonts w:eastAsia="黑体"/>
                <w:color w:val="auto"/>
                <w:kern w:val="0"/>
                <w:sz w:val="24"/>
              </w:rPr>
              <w:t>服务内容</w:t>
            </w:r>
            <w:r>
              <w:rPr>
                <w:rFonts w:hint="eastAsia" w:eastAsia="黑体"/>
                <w:color w:val="auto"/>
                <w:kern w:val="0"/>
                <w:sz w:val="24"/>
              </w:rPr>
              <w:t>和标准</w:t>
            </w:r>
          </w:p>
        </w:tc>
        <w:tc>
          <w:tcPr>
            <w:tcW w:w="1408" w:type="dxa"/>
            <w:vAlign w:val="center"/>
          </w:tcPr>
          <w:p>
            <w:pPr>
              <w:widowControl/>
              <w:jc w:val="center"/>
              <w:rPr>
                <w:rFonts w:eastAsia="黑体"/>
                <w:color w:val="auto"/>
                <w:kern w:val="0"/>
                <w:sz w:val="24"/>
              </w:rPr>
            </w:pPr>
            <w:r>
              <w:rPr>
                <w:rFonts w:eastAsia="黑体"/>
                <w:color w:val="auto"/>
                <w:kern w:val="0"/>
                <w:sz w:val="24"/>
              </w:rPr>
              <w:t>数量</w:t>
            </w:r>
            <w:r>
              <w:rPr>
                <w:rFonts w:hint="eastAsia" w:eastAsia="黑体"/>
                <w:color w:val="auto"/>
                <w:kern w:val="0"/>
                <w:sz w:val="24"/>
              </w:rPr>
              <w:t>/单位</w:t>
            </w:r>
          </w:p>
        </w:tc>
        <w:tc>
          <w:tcPr>
            <w:tcW w:w="1063" w:type="dxa"/>
            <w:vAlign w:val="center"/>
          </w:tcPr>
          <w:p>
            <w:pPr>
              <w:widowControl/>
              <w:jc w:val="center"/>
              <w:rPr>
                <w:rFonts w:eastAsia="黑体"/>
                <w:color w:val="auto"/>
                <w:kern w:val="0"/>
                <w:sz w:val="24"/>
              </w:rPr>
            </w:pPr>
            <w:r>
              <w:rPr>
                <w:rFonts w:eastAsia="黑体"/>
                <w:color w:val="auto"/>
                <w:kern w:val="0"/>
                <w:sz w:val="24"/>
              </w:rPr>
              <w:t>单价</w:t>
            </w:r>
          </w:p>
        </w:tc>
        <w:tc>
          <w:tcPr>
            <w:tcW w:w="1619" w:type="dxa"/>
            <w:vAlign w:val="center"/>
          </w:tcPr>
          <w:p>
            <w:pPr>
              <w:widowControl/>
              <w:jc w:val="center"/>
              <w:rPr>
                <w:rFonts w:eastAsia="黑体"/>
                <w:color w:val="auto"/>
                <w:kern w:val="0"/>
                <w:sz w:val="24"/>
              </w:rPr>
            </w:pPr>
            <w:r>
              <w:rPr>
                <w:rFonts w:hint="eastAsia" w:eastAsia="黑体"/>
                <w:color w:val="auto"/>
                <w:kern w:val="0"/>
                <w:sz w:val="24"/>
              </w:rPr>
              <w:t>合计</w:t>
            </w:r>
            <w:r>
              <w:rPr>
                <w:rFonts w:eastAsia="黑体"/>
                <w:color w:val="auto"/>
                <w:kern w:val="0"/>
                <w:sz w:val="24"/>
              </w:rPr>
              <w:t>金额</w:t>
            </w:r>
            <w:r>
              <w:rPr>
                <w:rFonts w:hint="eastAsia" w:eastAsia="黑体"/>
                <w:color w:val="auto"/>
                <w:kern w:val="0"/>
                <w:sz w:val="24"/>
              </w:rPr>
              <w:t>（</w:t>
            </w:r>
            <w:r>
              <w:rPr>
                <w:rFonts w:eastAsia="黑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pPr>
              <w:widowControl/>
              <w:jc w:val="center"/>
              <w:rPr>
                <w:rFonts w:eastAsia="黑体"/>
                <w:color w:val="auto"/>
                <w:kern w:val="0"/>
                <w:sz w:val="24"/>
              </w:rPr>
            </w:pPr>
            <w:r>
              <w:rPr>
                <w:rFonts w:eastAsia="黑体"/>
                <w:color w:val="auto"/>
                <w:kern w:val="0"/>
                <w:sz w:val="24"/>
              </w:rPr>
              <w:t>1</w:t>
            </w:r>
          </w:p>
        </w:tc>
        <w:tc>
          <w:tcPr>
            <w:tcW w:w="1969" w:type="dxa"/>
            <w:vAlign w:val="center"/>
          </w:tcPr>
          <w:p>
            <w:pPr>
              <w:widowControl/>
              <w:jc w:val="center"/>
              <w:rPr>
                <w:rFonts w:eastAsia="黑体"/>
                <w:color w:val="auto"/>
                <w:kern w:val="0"/>
                <w:sz w:val="24"/>
              </w:rPr>
            </w:pPr>
            <w:r>
              <w:rPr>
                <w:rFonts w:hint="eastAsia" w:eastAsia="黑体"/>
                <w:color w:val="auto"/>
                <w:kern w:val="0"/>
                <w:sz w:val="24"/>
                <w:lang w:val="en-US" w:eastAsia="zh-CN"/>
              </w:rPr>
              <w:t>荣昌校区道旗制作服务</w:t>
            </w:r>
            <w:r>
              <w:rPr>
                <w:rFonts w:eastAsia="黑体"/>
                <w:color w:val="auto"/>
                <w:kern w:val="0"/>
                <w:sz w:val="24"/>
              </w:rPr>
              <w:t>　</w:t>
            </w:r>
          </w:p>
        </w:tc>
        <w:tc>
          <w:tcPr>
            <w:tcW w:w="6692" w:type="dxa"/>
            <w:vAlign w:val="center"/>
          </w:tcPr>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textAlignment w:val="auto"/>
              <w:rPr>
                <w:rFonts w:hint="default" w:ascii="Times New Roman" w:hAnsi="Times New Roman" w:eastAsia="方正仿宋_GBK" w:cs="Times New Roman"/>
                <w:b/>
                <w:bCs/>
                <w:color w:val="auto"/>
                <w:sz w:val="24"/>
                <w:szCs w:val="24"/>
                <w:shd w:val="clear" w:color="auto" w:fill="auto"/>
                <w:lang w:val="en-US" w:eastAsia="zh-CN"/>
              </w:rPr>
            </w:pPr>
            <w:r>
              <w:rPr>
                <w:rFonts w:hint="eastAsia" w:eastAsia="方正仿宋_GBK" w:cs="Times New Roman"/>
                <w:b/>
                <w:bCs/>
                <w:color w:val="auto"/>
                <w:sz w:val="24"/>
                <w:szCs w:val="24"/>
                <w:shd w:val="clear" w:color="auto" w:fill="auto"/>
                <w:lang w:val="en-US" w:eastAsia="zh-CN"/>
              </w:rPr>
              <w:t>道旗固定架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right="0" w:rightChars="0"/>
              <w:textAlignment w:val="auto"/>
              <w:rPr>
                <w:rFonts w:hint="eastAsia" w:eastAsia="方正仿宋_GBK" w:cs="Times New Roman"/>
                <w:i w:val="0"/>
                <w:iCs w:val="0"/>
                <w:caps w:val="0"/>
                <w:color w:val="auto"/>
                <w:spacing w:val="0"/>
                <w:sz w:val="24"/>
                <w:szCs w:val="24"/>
                <w:shd w:val="clear" w:color="auto" w:fill="auto"/>
                <w:lang w:val="en-US" w:eastAsia="zh-CN"/>
              </w:rPr>
            </w:pPr>
            <w:r>
              <w:rPr>
                <w:rFonts w:hint="eastAsia" w:eastAsia="方正仿宋_GBK" w:cs="Times New Roman"/>
                <w:i w:val="0"/>
                <w:iCs w:val="0"/>
                <w:caps w:val="0"/>
                <w:color w:val="auto"/>
                <w:spacing w:val="0"/>
                <w:sz w:val="24"/>
                <w:szCs w:val="24"/>
                <w:shd w:val="clear" w:color="auto" w:fill="auto"/>
                <w:lang w:val="en-US" w:eastAsia="zh-CN"/>
              </w:rPr>
              <w:t>材质：3*3cm镀锌方管；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right="0" w:rightChars="0"/>
              <w:textAlignment w:val="auto"/>
              <w:rPr>
                <w:rFonts w:hint="default"/>
                <w:lang w:val="en-US" w:eastAsia="zh-CN"/>
              </w:rPr>
            </w:pPr>
            <w:r>
              <w:rPr>
                <w:rFonts w:hint="eastAsia" w:eastAsia="方正仿宋_GBK" w:cs="Times New Roman"/>
                <w:i w:val="0"/>
                <w:iCs w:val="0"/>
                <w:caps w:val="0"/>
                <w:color w:val="auto"/>
                <w:spacing w:val="0"/>
                <w:sz w:val="24"/>
                <w:szCs w:val="24"/>
                <w:shd w:val="clear" w:color="auto" w:fill="auto"/>
                <w:lang w:val="en-US" w:eastAsia="zh-CN"/>
              </w:rPr>
              <w:t>尺寸：1250*1650mm</w:t>
            </w:r>
          </w:p>
        </w:tc>
        <w:tc>
          <w:tcPr>
            <w:tcW w:w="1408" w:type="dxa"/>
            <w:vAlign w:val="center"/>
          </w:tcPr>
          <w:p>
            <w:pPr>
              <w:widowControl/>
              <w:jc w:val="center"/>
              <w:rPr>
                <w:rFonts w:hint="default" w:eastAsia="黑体"/>
                <w:color w:val="auto"/>
                <w:kern w:val="0"/>
                <w:sz w:val="24"/>
                <w:lang w:val="en-US"/>
              </w:rPr>
            </w:pPr>
            <w:r>
              <w:rPr>
                <w:rFonts w:hint="eastAsia" w:eastAsia="黑体"/>
                <w:color w:val="auto"/>
                <w:kern w:val="0"/>
                <w:sz w:val="24"/>
                <w:lang w:val="en-US" w:eastAsia="zh-CN"/>
              </w:rPr>
              <w:t>120</w:t>
            </w:r>
          </w:p>
        </w:tc>
        <w:tc>
          <w:tcPr>
            <w:tcW w:w="1063" w:type="dxa"/>
            <w:vAlign w:val="center"/>
          </w:tcPr>
          <w:p>
            <w:pPr>
              <w:widowControl/>
              <w:jc w:val="center"/>
              <w:rPr>
                <w:rFonts w:hint="default" w:eastAsia="黑体"/>
                <w:color w:val="auto"/>
                <w:kern w:val="0"/>
                <w:sz w:val="24"/>
                <w:lang w:val="en-US" w:eastAsia="zh-CN"/>
              </w:rPr>
            </w:pPr>
            <w:r>
              <w:rPr>
                <w:rFonts w:hint="eastAsia" w:eastAsia="黑体"/>
                <w:color w:val="auto"/>
                <w:kern w:val="0"/>
                <w:sz w:val="24"/>
                <w:lang w:val="en-US" w:eastAsia="zh-CN"/>
              </w:rPr>
              <w:t>200</w:t>
            </w:r>
          </w:p>
        </w:tc>
        <w:tc>
          <w:tcPr>
            <w:tcW w:w="1619" w:type="dxa"/>
            <w:vAlign w:val="center"/>
          </w:tcPr>
          <w:p>
            <w:pPr>
              <w:widowControl/>
              <w:jc w:val="center"/>
              <w:rPr>
                <w:rFonts w:hint="default" w:eastAsia="黑体"/>
                <w:color w:val="auto"/>
                <w:kern w:val="0"/>
                <w:sz w:val="24"/>
                <w:lang w:val="en-US"/>
              </w:rPr>
            </w:pPr>
            <w:r>
              <w:rPr>
                <w:rFonts w:hint="eastAsia" w:eastAsia="黑体"/>
                <w:color w:val="auto"/>
                <w:kern w:val="0"/>
                <w:sz w:val="24"/>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pPr>
              <w:widowControl/>
              <w:jc w:val="center"/>
              <w:rPr>
                <w:rFonts w:hint="eastAsia" w:eastAsia="黑体"/>
                <w:color w:val="auto"/>
                <w:kern w:val="0"/>
                <w:sz w:val="24"/>
                <w:lang w:val="en-US" w:eastAsia="zh-CN"/>
              </w:rPr>
            </w:pPr>
            <w:r>
              <w:rPr>
                <w:rFonts w:hint="eastAsia" w:eastAsia="黑体"/>
                <w:color w:val="auto"/>
                <w:kern w:val="0"/>
                <w:sz w:val="24"/>
                <w:lang w:val="en-US" w:eastAsia="zh-CN"/>
              </w:rPr>
              <w:t>2</w:t>
            </w:r>
          </w:p>
        </w:tc>
        <w:tc>
          <w:tcPr>
            <w:tcW w:w="1969" w:type="dxa"/>
            <w:vAlign w:val="center"/>
          </w:tcPr>
          <w:p>
            <w:pPr>
              <w:widowControl/>
              <w:jc w:val="center"/>
              <w:rPr>
                <w:rFonts w:hint="eastAsia" w:eastAsia="黑体"/>
                <w:color w:val="auto"/>
                <w:kern w:val="0"/>
                <w:sz w:val="24"/>
                <w:lang w:val="en-US" w:eastAsia="zh-CN"/>
              </w:rPr>
            </w:pPr>
            <w:r>
              <w:rPr>
                <w:rFonts w:hint="eastAsia" w:eastAsia="黑体"/>
                <w:color w:val="auto"/>
                <w:kern w:val="0"/>
                <w:sz w:val="24"/>
                <w:lang w:val="en-US" w:eastAsia="zh-CN"/>
              </w:rPr>
              <w:t>荣昌校区道旗制作服务</w:t>
            </w:r>
          </w:p>
        </w:tc>
        <w:tc>
          <w:tcPr>
            <w:tcW w:w="6692" w:type="dxa"/>
            <w:vAlign w:val="center"/>
          </w:tcPr>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textAlignment w:val="auto"/>
              <w:rPr>
                <w:rFonts w:hint="default" w:ascii="Times New Roman" w:hAnsi="Times New Roman" w:eastAsia="方正仿宋_GBK" w:cs="Times New Roman"/>
                <w:b/>
                <w:bCs/>
                <w:color w:val="auto"/>
                <w:sz w:val="24"/>
                <w:szCs w:val="24"/>
                <w:shd w:val="clear" w:color="auto" w:fill="auto"/>
                <w:lang w:val="en-US" w:eastAsia="zh-CN"/>
              </w:rPr>
            </w:pPr>
            <w:r>
              <w:rPr>
                <w:rFonts w:hint="eastAsia" w:eastAsia="方正仿宋_GBK" w:cs="Times New Roman"/>
                <w:b/>
                <w:bCs/>
                <w:color w:val="auto"/>
                <w:sz w:val="24"/>
                <w:szCs w:val="24"/>
                <w:shd w:val="clear" w:color="auto" w:fill="auto"/>
                <w:lang w:val="en-US" w:eastAsia="zh-CN"/>
              </w:rPr>
              <w:t>道旗画面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textAlignment w:val="auto"/>
              <w:rPr>
                <w:rFonts w:hint="default" w:ascii="Times New Roman" w:hAnsi="Times New Roman" w:eastAsia="方正仿宋_GBK" w:cs="Times New Roman"/>
                <w:i w:val="0"/>
                <w:iCs w:val="0"/>
                <w:caps w:val="0"/>
                <w:color w:val="auto"/>
                <w:spacing w:val="0"/>
                <w:sz w:val="24"/>
                <w:szCs w:val="24"/>
                <w:shd w:val="clear" w:color="auto" w:fill="auto"/>
                <w:lang w:val="en-US"/>
              </w:rPr>
            </w:pPr>
            <w:r>
              <w:rPr>
                <w:rFonts w:hint="eastAsia" w:eastAsia="方正仿宋_GBK" w:cs="Times New Roman"/>
                <w:i w:val="0"/>
                <w:iCs w:val="0"/>
                <w:caps w:val="0"/>
                <w:color w:val="auto"/>
                <w:spacing w:val="0"/>
                <w:sz w:val="24"/>
                <w:szCs w:val="24"/>
                <w:shd w:val="clear" w:color="auto" w:fill="auto"/>
                <w:lang w:val="en-US" w:eastAsia="zh-CN"/>
              </w:rPr>
              <w:t>双面高清彩色喷绘（500*1650mm）</w:t>
            </w:r>
          </w:p>
        </w:tc>
        <w:tc>
          <w:tcPr>
            <w:tcW w:w="1408" w:type="dxa"/>
            <w:vAlign w:val="center"/>
          </w:tcPr>
          <w:p>
            <w:pPr>
              <w:widowControl/>
              <w:jc w:val="center"/>
              <w:rPr>
                <w:rFonts w:hint="default" w:eastAsia="黑体"/>
                <w:color w:val="auto"/>
                <w:kern w:val="0"/>
                <w:sz w:val="24"/>
                <w:lang w:val="en-US" w:eastAsia="zh-CN"/>
              </w:rPr>
            </w:pPr>
            <w:r>
              <w:rPr>
                <w:rFonts w:hint="eastAsia" w:eastAsia="黑体"/>
                <w:color w:val="auto"/>
                <w:kern w:val="0"/>
                <w:sz w:val="24"/>
                <w:lang w:val="en-US" w:eastAsia="zh-CN"/>
              </w:rPr>
              <w:t>240</w:t>
            </w:r>
          </w:p>
        </w:tc>
        <w:tc>
          <w:tcPr>
            <w:tcW w:w="1063" w:type="dxa"/>
            <w:vAlign w:val="center"/>
          </w:tcPr>
          <w:p>
            <w:pPr>
              <w:widowControl/>
              <w:jc w:val="center"/>
              <w:rPr>
                <w:rFonts w:hint="default" w:eastAsia="黑体"/>
                <w:color w:val="auto"/>
                <w:kern w:val="0"/>
                <w:sz w:val="24"/>
                <w:lang w:val="en-US" w:eastAsia="zh-CN"/>
              </w:rPr>
            </w:pPr>
            <w:r>
              <w:rPr>
                <w:rFonts w:hint="eastAsia" w:eastAsia="黑体"/>
                <w:color w:val="auto"/>
                <w:kern w:val="0"/>
                <w:sz w:val="24"/>
                <w:lang w:val="en-US" w:eastAsia="zh-CN"/>
              </w:rPr>
              <w:t>100</w:t>
            </w:r>
          </w:p>
        </w:tc>
        <w:tc>
          <w:tcPr>
            <w:tcW w:w="1619" w:type="dxa"/>
            <w:vAlign w:val="center"/>
          </w:tcPr>
          <w:p>
            <w:pPr>
              <w:widowControl/>
              <w:jc w:val="center"/>
              <w:rPr>
                <w:rFonts w:hint="default" w:eastAsia="黑体"/>
                <w:color w:val="auto"/>
                <w:kern w:val="0"/>
                <w:sz w:val="24"/>
                <w:lang w:val="en-US" w:eastAsia="zh-CN"/>
              </w:rPr>
            </w:pPr>
            <w:r>
              <w:rPr>
                <w:rFonts w:hint="eastAsia" w:eastAsia="黑体"/>
                <w:color w:val="auto"/>
                <w:kern w:val="0"/>
                <w:sz w:val="24"/>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pPr>
              <w:widowControl/>
              <w:jc w:val="center"/>
              <w:rPr>
                <w:rFonts w:hint="default" w:eastAsia="黑体"/>
                <w:color w:val="auto"/>
                <w:kern w:val="0"/>
                <w:sz w:val="24"/>
                <w:lang w:val="en-US" w:eastAsia="zh-CN"/>
              </w:rPr>
            </w:pPr>
            <w:r>
              <w:rPr>
                <w:rFonts w:hint="eastAsia" w:eastAsia="黑体"/>
                <w:color w:val="auto"/>
                <w:kern w:val="0"/>
                <w:sz w:val="24"/>
                <w:lang w:val="en-US" w:eastAsia="zh-CN"/>
              </w:rPr>
              <w:t>3</w:t>
            </w:r>
          </w:p>
        </w:tc>
        <w:tc>
          <w:tcPr>
            <w:tcW w:w="1969" w:type="dxa"/>
            <w:vAlign w:val="center"/>
          </w:tcPr>
          <w:p>
            <w:pPr>
              <w:widowControl/>
              <w:jc w:val="center"/>
              <w:rPr>
                <w:rFonts w:hint="default" w:eastAsia="黑体"/>
                <w:color w:val="auto"/>
                <w:kern w:val="0"/>
                <w:sz w:val="24"/>
                <w:lang w:val="en-US" w:eastAsia="zh-CN"/>
              </w:rPr>
            </w:pPr>
            <w:r>
              <w:rPr>
                <w:rFonts w:hint="eastAsia" w:eastAsia="黑体"/>
                <w:color w:val="auto"/>
                <w:kern w:val="0"/>
                <w:sz w:val="24"/>
                <w:lang w:val="en-US" w:eastAsia="zh-CN"/>
              </w:rPr>
              <w:t>温馨提示牌</w:t>
            </w:r>
          </w:p>
        </w:tc>
        <w:tc>
          <w:tcPr>
            <w:tcW w:w="6692" w:type="dxa"/>
            <w:vAlign w:val="center"/>
          </w:tcPr>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0" w:leftChars="0" w:right="0" w:rightChars="0" w:firstLine="0" w:firstLineChars="0"/>
              <w:textAlignment w:val="auto"/>
              <w:rPr>
                <w:rFonts w:hint="default" w:eastAsia="方正仿宋_GBK" w:cs="Times New Roman"/>
                <w:i w:val="0"/>
                <w:iCs w:val="0"/>
                <w:caps w:val="0"/>
                <w:color w:val="auto"/>
                <w:spacing w:val="0"/>
                <w:sz w:val="24"/>
                <w:szCs w:val="24"/>
                <w:shd w:val="clear" w:color="auto" w:fill="auto"/>
                <w:lang w:val="en-US" w:eastAsia="zh-CN"/>
              </w:rPr>
            </w:pPr>
            <w:r>
              <w:rPr>
                <w:rFonts w:hint="eastAsia" w:eastAsia="方正仿宋_GBK" w:cs="Times New Roman"/>
                <w:i w:val="0"/>
                <w:iCs w:val="0"/>
                <w:caps w:val="0"/>
                <w:color w:val="auto"/>
                <w:spacing w:val="0"/>
                <w:sz w:val="24"/>
                <w:szCs w:val="24"/>
                <w:shd w:val="clear" w:color="auto" w:fill="auto"/>
                <w:lang w:val="en-US" w:eastAsia="zh-CN"/>
              </w:rPr>
              <w:t>2cm亚克力温馨提示牌</w:t>
            </w:r>
          </w:p>
        </w:tc>
        <w:tc>
          <w:tcPr>
            <w:tcW w:w="1408" w:type="dxa"/>
            <w:vAlign w:val="center"/>
          </w:tcPr>
          <w:p>
            <w:pPr>
              <w:widowControl/>
              <w:jc w:val="center"/>
              <w:rPr>
                <w:rFonts w:hint="default" w:eastAsia="黑体"/>
                <w:color w:val="auto"/>
                <w:kern w:val="0"/>
                <w:sz w:val="24"/>
                <w:lang w:val="en-US" w:eastAsia="zh-CN"/>
              </w:rPr>
            </w:pPr>
            <w:r>
              <w:rPr>
                <w:rFonts w:hint="eastAsia" w:eastAsia="黑体"/>
                <w:color w:val="auto"/>
                <w:kern w:val="0"/>
                <w:sz w:val="24"/>
                <w:lang w:val="en-US" w:eastAsia="zh-CN"/>
              </w:rPr>
              <w:t>100</w:t>
            </w:r>
          </w:p>
        </w:tc>
        <w:tc>
          <w:tcPr>
            <w:tcW w:w="1063" w:type="dxa"/>
            <w:vAlign w:val="center"/>
          </w:tcPr>
          <w:p>
            <w:pPr>
              <w:widowControl/>
              <w:jc w:val="center"/>
              <w:rPr>
                <w:rFonts w:hint="default" w:eastAsia="黑体"/>
                <w:color w:val="auto"/>
                <w:kern w:val="0"/>
                <w:sz w:val="24"/>
                <w:lang w:val="en-US" w:eastAsia="zh-CN"/>
              </w:rPr>
            </w:pPr>
            <w:r>
              <w:rPr>
                <w:rFonts w:hint="eastAsia" w:eastAsia="黑体"/>
                <w:color w:val="auto"/>
                <w:kern w:val="0"/>
                <w:sz w:val="24"/>
                <w:lang w:val="en-US" w:eastAsia="zh-CN"/>
              </w:rPr>
              <w:t>5</w:t>
            </w:r>
          </w:p>
        </w:tc>
        <w:tc>
          <w:tcPr>
            <w:tcW w:w="1619" w:type="dxa"/>
            <w:vAlign w:val="center"/>
          </w:tcPr>
          <w:p>
            <w:pPr>
              <w:widowControl/>
              <w:jc w:val="center"/>
              <w:rPr>
                <w:rFonts w:hint="default" w:eastAsia="黑体"/>
                <w:color w:val="auto"/>
                <w:kern w:val="0"/>
                <w:sz w:val="24"/>
                <w:lang w:val="en-US" w:eastAsia="zh-CN"/>
              </w:rPr>
            </w:pPr>
            <w:r>
              <w:rPr>
                <w:rFonts w:hint="eastAsia" w:eastAsia="黑体"/>
                <w:color w:val="auto"/>
                <w:kern w:val="0"/>
                <w:sz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pPr>
              <w:widowControl/>
              <w:jc w:val="center"/>
              <w:rPr>
                <w:rFonts w:eastAsia="黑体"/>
                <w:color w:val="auto"/>
                <w:kern w:val="0"/>
                <w:sz w:val="24"/>
              </w:rPr>
            </w:pPr>
            <w:r>
              <w:rPr>
                <w:rFonts w:eastAsia="黑体"/>
                <w:color w:val="auto"/>
                <w:kern w:val="0"/>
                <w:sz w:val="24"/>
              </w:rPr>
              <w:t>合计</w:t>
            </w:r>
          </w:p>
        </w:tc>
        <w:tc>
          <w:tcPr>
            <w:tcW w:w="8661" w:type="dxa"/>
            <w:gridSpan w:val="2"/>
            <w:vAlign w:val="center"/>
          </w:tcPr>
          <w:p>
            <w:pPr>
              <w:widowControl/>
              <w:jc w:val="left"/>
              <w:rPr>
                <w:rFonts w:hint="eastAsia" w:eastAsia="黑体"/>
                <w:color w:val="auto"/>
                <w:kern w:val="0"/>
                <w:sz w:val="24"/>
                <w:lang w:val="en-US" w:eastAsia="zh-CN"/>
              </w:rPr>
            </w:pPr>
            <w:r>
              <w:rPr>
                <w:rFonts w:eastAsia="黑体"/>
                <w:color w:val="auto"/>
                <w:kern w:val="0"/>
                <w:sz w:val="24"/>
              </w:rPr>
              <w:t>人民币大写：</w:t>
            </w:r>
            <w:r>
              <w:rPr>
                <w:rFonts w:hint="eastAsia" w:eastAsia="黑体"/>
                <w:color w:val="auto"/>
                <w:kern w:val="0"/>
                <w:sz w:val="24"/>
                <w:lang w:val="en-US" w:eastAsia="zh-CN"/>
              </w:rPr>
              <w:t>肆万捌仟伍佰元整</w:t>
            </w:r>
          </w:p>
        </w:tc>
        <w:tc>
          <w:tcPr>
            <w:tcW w:w="4090" w:type="dxa"/>
            <w:gridSpan w:val="3"/>
            <w:vAlign w:val="center"/>
          </w:tcPr>
          <w:p>
            <w:pPr>
              <w:widowControl/>
              <w:jc w:val="center"/>
              <w:rPr>
                <w:rFonts w:hint="default" w:eastAsia="黑体"/>
                <w:color w:val="auto"/>
                <w:kern w:val="0"/>
                <w:sz w:val="24"/>
                <w:lang w:val="en-US" w:eastAsia="zh-CN"/>
              </w:rPr>
            </w:pPr>
            <w:r>
              <w:rPr>
                <w:rFonts w:eastAsia="黑体"/>
                <w:color w:val="auto"/>
                <w:kern w:val="0"/>
                <w:sz w:val="24"/>
              </w:rPr>
              <w:t>　</w:t>
            </w:r>
            <w:r>
              <w:rPr>
                <w:rFonts w:hint="eastAsia" w:eastAsia="黑体"/>
                <w:color w:val="auto"/>
                <w:kern w:val="0"/>
                <w:sz w:val="24"/>
                <w:lang w:val="en-US" w:eastAsia="zh-CN"/>
              </w:rPr>
              <w:t>48500</w:t>
            </w:r>
          </w:p>
        </w:tc>
      </w:tr>
    </w:tbl>
    <w:p>
      <w:pPr>
        <w:widowControl/>
        <w:rPr>
          <w:rFonts w:eastAsia="方正小标宋_GBK"/>
          <w:bCs/>
          <w:color w:val="auto"/>
          <w:kern w:val="0"/>
          <w:sz w:val="36"/>
          <w:szCs w:val="36"/>
        </w:rPr>
        <w:sectPr>
          <w:type w:val="continuous"/>
          <w:pgSz w:w="16838" w:h="11906" w:orient="landscape"/>
          <w:pgMar w:top="1446" w:right="1985" w:bottom="1446" w:left="1644" w:header="851" w:footer="1247" w:gutter="0"/>
          <w:cols w:space="720" w:num="1"/>
          <w:docGrid w:linePitch="312" w:charSpace="0"/>
        </w:sectPr>
      </w:pPr>
    </w:p>
    <w:p>
      <w:pPr>
        <w:rPr>
          <w:b/>
          <w:bCs/>
          <w:color w:val="auto"/>
          <w:sz w:val="28"/>
          <w:szCs w:val="28"/>
        </w:rPr>
      </w:pPr>
    </w:p>
    <w:p>
      <w:pPr>
        <w:pStyle w:val="6"/>
        <w:shd w:val="clear" w:color="auto" w:fill="FFFFFF"/>
        <w:spacing w:line="360" w:lineRule="auto"/>
        <w:jc w:val="center"/>
        <w:rPr>
          <w:rFonts w:ascii="Times New Roman" w:hAnsi="Times New Roman" w:eastAsia="方正小标宋_GBK"/>
          <w:bCs/>
          <w:color w:val="auto"/>
          <w:kern w:val="0"/>
          <w:sz w:val="36"/>
          <w:szCs w:val="36"/>
        </w:rPr>
      </w:pPr>
      <w:r>
        <w:rPr>
          <w:rFonts w:hint="eastAsia" w:ascii="Times New Roman" w:hAnsi="Times New Roman" w:eastAsia="方正小标宋_GBK"/>
          <w:bCs/>
          <w:color w:val="auto"/>
          <w:kern w:val="0"/>
          <w:sz w:val="36"/>
          <w:szCs w:val="36"/>
        </w:rPr>
        <w:t>项目商务要求</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0" w:name="_Toc75793509"/>
      <w:r>
        <w:rPr>
          <w:rFonts w:ascii="方正仿宋_GBK" w:eastAsia="方正仿宋_GBK"/>
          <w:color w:val="auto"/>
          <w:kern w:val="2"/>
          <w:sz w:val="24"/>
          <w:szCs w:val="24"/>
        </w:rPr>
        <w:t>交货期、交货地点及验收方式</w:t>
      </w:r>
      <w:bookmarkEnd w:id="0"/>
    </w:p>
    <w:p>
      <w:pPr>
        <w:pStyle w:val="3"/>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bCs/>
          <w:color w:val="auto"/>
          <w:kern w:val="2"/>
          <w:sz w:val="24"/>
          <w:szCs w:val="24"/>
        </w:rPr>
      </w:pPr>
      <w:r>
        <w:rPr>
          <w:rFonts w:ascii="方正仿宋_GBK" w:eastAsia="方正仿宋_GBK"/>
          <w:b w:val="0"/>
          <w:bCs/>
          <w:color w:val="auto"/>
          <w:kern w:val="2"/>
          <w:sz w:val="24"/>
          <w:szCs w:val="24"/>
        </w:rPr>
        <w:t>（一）交货期</w:t>
      </w:r>
    </w:p>
    <w:p>
      <w:pPr>
        <w:pStyle w:val="3"/>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bCs/>
          <w:color w:val="auto"/>
          <w:kern w:val="2"/>
          <w:sz w:val="24"/>
          <w:szCs w:val="24"/>
        </w:rPr>
      </w:pPr>
      <w:r>
        <w:rPr>
          <w:rFonts w:ascii="方正仿宋_GBK" w:eastAsia="方正仿宋_GBK"/>
          <w:b w:val="0"/>
          <w:bCs/>
          <w:color w:val="auto"/>
          <w:kern w:val="2"/>
          <w:sz w:val="24"/>
          <w:szCs w:val="24"/>
        </w:rPr>
        <w:t>供应商应在采购合同签订后</w:t>
      </w:r>
      <w:r>
        <w:rPr>
          <w:rFonts w:hint="eastAsia" w:ascii="方正仿宋_GBK" w:eastAsia="方正仿宋_GBK"/>
          <w:b w:val="0"/>
          <w:bCs/>
          <w:color w:val="auto"/>
          <w:kern w:val="2"/>
          <w:sz w:val="24"/>
          <w:szCs w:val="24"/>
          <w:lang w:val="en-US" w:eastAsia="zh-CN"/>
        </w:rPr>
        <w:t>10</w:t>
      </w:r>
      <w:r>
        <w:rPr>
          <w:rFonts w:ascii="方正仿宋_GBK" w:eastAsia="方正仿宋_GBK"/>
          <w:b w:val="0"/>
          <w:bCs/>
          <w:color w:val="auto"/>
          <w:kern w:val="2"/>
          <w:sz w:val="24"/>
          <w:szCs w:val="24"/>
        </w:rPr>
        <w:t>个日历日内</w:t>
      </w:r>
      <w:r>
        <w:rPr>
          <w:rFonts w:hint="eastAsia" w:ascii="方正仿宋_GBK" w:eastAsia="方正仿宋_GBK"/>
          <w:b w:val="0"/>
          <w:bCs/>
          <w:color w:val="auto"/>
          <w:kern w:val="2"/>
          <w:sz w:val="24"/>
          <w:szCs w:val="24"/>
          <w:lang w:val="en-US" w:eastAsia="zh-CN"/>
        </w:rPr>
        <w:t>完成合同约定的全部内容</w:t>
      </w:r>
      <w:r>
        <w:rPr>
          <w:rFonts w:ascii="方正仿宋_GBK" w:eastAsia="方正仿宋_GBK"/>
          <w:b w:val="0"/>
          <w:bCs/>
          <w:color w:val="auto"/>
          <w:kern w:val="2"/>
          <w:sz w:val="24"/>
          <w:szCs w:val="24"/>
        </w:rPr>
        <w:t>。</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（二）交货地点</w:t>
      </w:r>
    </w:p>
    <w:p>
      <w:pPr>
        <w:snapToGrid w:val="0"/>
        <w:spacing w:line="400" w:lineRule="exact"/>
        <w:ind w:firstLine="480" w:firstLineChars="200"/>
        <w:rPr>
          <w:rFonts w:hint="default" w:ascii="方正仿宋_GBK" w:hAnsi="宋体" w:eastAsia="方正仿宋_GBK" w:cs="宋体"/>
          <w:color w:val="auto"/>
          <w:kern w:val="0"/>
          <w:sz w:val="24"/>
          <w:lang w:val="en-US"/>
        </w:rPr>
      </w:pPr>
      <w:r>
        <w:rPr>
          <w:rFonts w:hint="eastAsia" w:ascii="方正仿宋_GBK" w:hAnsi="宋体" w:eastAsia="方正仿宋_GBK" w:cs="宋体"/>
          <w:color w:val="auto"/>
          <w:kern w:val="0"/>
          <w:sz w:val="24"/>
          <w:lang w:val="en-US" w:eastAsia="zh-CN"/>
        </w:rPr>
        <w:t>重庆城市管理职业学院荣昌校区</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（三）验收方式</w:t>
      </w:r>
    </w:p>
    <w:p>
      <w:pPr>
        <w:snapToGrid w:val="0"/>
        <w:spacing w:line="400" w:lineRule="exact"/>
        <w:ind w:firstLine="480" w:firstLineChars="200"/>
        <w:rPr>
          <w:rFonts w:ascii="方正仿宋_GBK" w:hAnsi="宋体" w:eastAsia="方正仿宋_GBK" w:cs="宋体"/>
          <w:kern w:val="0"/>
          <w:sz w:val="24"/>
        </w:rPr>
      </w:pPr>
      <w:bookmarkStart w:id="1" w:name="_Toc75793510"/>
      <w:bookmarkStart w:id="2" w:name="_Toc267320050"/>
      <w:r>
        <w:rPr>
          <w:rFonts w:hint="eastAsia" w:ascii="方正仿宋_GBK" w:hAnsi="宋体" w:eastAsia="方正仿宋_GBK"/>
          <w:bCs/>
          <w:sz w:val="24"/>
        </w:rPr>
        <w:t>将根据服务内容和标准逐条进行验收，全部满足视为验收合格，否则验收不合格。</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ascii="方正仿宋_GBK" w:eastAsia="方正仿宋_GBK"/>
          <w:color w:val="auto"/>
          <w:kern w:val="2"/>
          <w:sz w:val="24"/>
          <w:szCs w:val="24"/>
        </w:rPr>
        <w:t>报价要求</w:t>
      </w:r>
      <w:bookmarkEnd w:id="1"/>
    </w:p>
    <w:p>
      <w:pPr>
        <w:snapToGrid w:val="0"/>
        <w:spacing w:line="400" w:lineRule="exact"/>
        <w:ind w:firstLine="480" w:firstLineChars="200"/>
        <w:rPr>
          <w:rFonts w:ascii="方正仿宋_GBK" w:eastAsia="方正仿宋_GBK"/>
          <w:color w:val="auto"/>
        </w:rPr>
      </w:pPr>
      <w:r>
        <w:rPr>
          <w:rFonts w:hint="eastAsia" w:ascii="方正仿宋_GBK" w:hAnsi="宋体" w:eastAsia="方正仿宋_GBK" w:cs="宋体"/>
          <w:color w:val="auto"/>
          <w:kern w:val="0"/>
          <w:sz w:val="24"/>
        </w:rPr>
        <w:t>本次报价须为人民币报价，</w:t>
      </w:r>
      <w:r>
        <w:rPr>
          <w:rFonts w:hint="eastAsia" w:ascii="方正仿宋_GBK" w:hAnsi="宋体" w:eastAsia="方正仿宋_GBK"/>
          <w:color w:val="auto"/>
          <w:sz w:val="24"/>
        </w:rPr>
        <w:t>包括完成本项目所需的货物</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服务、工程</w:t>
      </w:r>
      <w:r>
        <w:rPr>
          <w:rFonts w:hint="eastAsia" w:ascii="方正仿宋_GBK" w:hAnsi="宋体" w:eastAsia="方正仿宋_GBK"/>
          <w:color w:val="auto"/>
          <w:sz w:val="24"/>
          <w:lang w:eastAsia="zh-CN"/>
        </w:rPr>
        <w:t>）</w:t>
      </w:r>
      <w:r>
        <w:rPr>
          <w:rFonts w:hint="eastAsia" w:ascii="方正仿宋_GBK" w:hAnsi="宋体" w:eastAsia="方正仿宋_GBK"/>
          <w:color w:val="auto"/>
          <w:sz w:val="24"/>
          <w:lang w:val="en-US" w:eastAsia="zh-CN"/>
        </w:rPr>
        <w:t>及货物运输、安装、人工、</w:t>
      </w:r>
      <w:r>
        <w:rPr>
          <w:rFonts w:hint="eastAsia" w:ascii="方正仿宋_GBK" w:hAnsi="宋体" w:eastAsia="方正仿宋_GBK"/>
          <w:color w:val="auto"/>
          <w:sz w:val="24"/>
        </w:rPr>
        <w:t>税费等</w:t>
      </w:r>
      <w:r>
        <w:rPr>
          <w:rFonts w:hint="eastAsia" w:ascii="方正仿宋_GBK" w:hAnsi="宋体" w:eastAsia="方正仿宋_GBK" w:cs="宋体"/>
          <w:color w:val="auto"/>
          <w:kern w:val="0"/>
          <w:sz w:val="24"/>
        </w:rPr>
        <w:t>所有费用</w:t>
      </w:r>
      <w:r>
        <w:rPr>
          <w:rFonts w:hint="eastAsia" w:ascii="方正仿宋_GBK" w:hAnsi="宋体" w:eastAsia="方正仿宋_GBK"/>
          <w:color w:val="auto"/>
          <w:sz w:val="24"/>
        </w:rPr>
        <w:t>。因成交供应商自身原因造成漏报、少报皆由其自行承担责任，采购人不再补偿。</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3" w:name="_Toc75793511"/>
      <w:r>
        <w:rPr>
          <w:rFonts w:ascii="方正仿宋_GBK" w:eastAsia="方正仿宋_GBK"/>
          <w:color w:val="auto"/>
          <w:kern w:val="2"/>
          <w:sz w:val="24"/>
          <w:szCs w:val="24"/>
        </w:rPr>
        <w:t>质量保证及售后服务</w:t>
      </w:r>
      <w:bookmarkEnd w:id="2"/>
      <w:bookmarkEnd w:id="3"/>
    </w:p>
    <w:p>
      <w:pPr>
        <w:numPr>
          <w:ilvl w:val="0"/>
          <w:numId w:val="3"/>
        </w:numPr>
        <w:snapToGrid w:val="0"/>
        <w:spacing w:line="400" w:lineRule="exact"/>
        <w:ind w:firstLine="480" w:firstLineChars="200"/>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产品质量保证期：自验收合格之日起，产品质量保证期为六个月。</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（二）售后服务内容</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1.供应商在</w:t>
      </w:r>
      <w:r>
        <w:rPr>
          <w:rFonts w:hint="eastAsia" w:ascii="方正仿宋_GBK" w:hAnsi="宋体" w:eastAsia="方正仿宋_GBK" w:cs="宋体"/>
          <w:color w:val="auto"/>
          <w:kern w:val="0"/>
          <w:sz w:val="24"/>
          <w:lang w:val="en-US" w:eastAsia="zh-CN"/>
        </w:rPr>
        <w:t>质保期</w:t>
      </w:r>
      <w:r>
        <w:rPr>
          <w:rFonts w:hint="eastAsia" w:ascii="方正仿宋_GBK" w:hAnsi="宋体" w:eastAsia="方正仿宋_GBK" w:cs="宋体"/>
          <w:color w:val="auto"/>
          <w:kern w:val="0"/>
          <w:sz w:val="24"/>
        </w:rPr>
        <w:t>内应当为采购人提供以下技术支持和服务：</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1.1电话咨询</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供应商应当为采购人提供技术援助电话，解答采购人在使用中遇到的问题，及时为采购人提出解决问题的建议。</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1.2现场响应</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中标人在</w:t>
      </w:r>
      <w:r>
        <w:rPr>
          <w:rFonts w:hint="eastAsia" w:ascii="方正仿宋_GBK" w:hAnsi="宋体" w:eastAsia="方正仿宋_GBK" w:cs="宋体"/>
          <w:color w:val="auto"/>
          <w:kern w:val="0"/>
          <w:sz w:val="24"/>
          <w:lang w:val="en-US" w:eastAsia="zh-CN"/>
        </w:rPr>
        <w:t>制作安装过程中，</w:t>
      </w:r>
      <w:r>
        <w:rPr>
          <w:rFonts w:hint="eastAsia" w:ascii="方正仿宋_GBK" w:hAnsi="宋体" w:eastAsia="方正仿宋_GBK" w:cs="宋体"/>
          <w:color w:val="auto"/>
          <w:kern w:val="0"/>
          <w:sz w:val="24"/>
        </w:rPr>
        <w:t>对采购人遇到</w:t>
      </w:r>
      <w:r>
        <w:rPr>
          <w:rFonts w:hint="eastAsia" w:ascii="方正仿宋_GBK" w:hAnsi="宋体" w:eastAsia="方正仿宋_GBK" w:cs="宋体"/>
          <w:color w:val="auto"/>
          <w:kern w:val="0"/>
          <w:sz w:val="24"/>
          <w:lang w:val="en-US" w:eastAsia="zh-CN"/>
        </w:rPr>
        <w:t>设计</w:t>
      </w:r>
      <w:r>
        <w:rPr>
          <w:rFonts w:hint="eastAsia" w:ascii="方正仿宋_GBK" w:hAnsi="宋体" w:eastAsia="方正仿宋_GBK" w:cs="宋体"/>
          <w:color w:val="auto"/>
          <w:kern w:val="0"/>
          <w:sz w:val="24"/>
        </w:rPr>
        <w:t>及技术问题现场解答，使采购人</w:t>
      </w:r>
      <w:r>
        <w:rPr>
          <w:rFonts w:hint="eastAsia" w:ascii="方正仿宋_GBK" w:hAnsi="宋体" w:eastAsia="方正仿宋_GBK" w:cs="宋体"/>
          <w:color w:val="auto"/>
          <w:kern w:val="0"/>
          <w:sz w:val="24"/>
          <w:lang w:val="en-US" w:eastAsia="zh-CN"/>
        </w:rPr>
        <w:t>制作安装</w:t>
      </w:r>
      <w:r>
        <w:rPr>
          <w:rFonts w:hint="eastAsia" w:ascii="方正仿宋_GBK" w:hAnsi="宋体" w:eastAsia="方正仿宋_GBK" w:cs="宋体"/>
          <w:color w:val="auto"/>
          <w:kern w:val="0"/>
          <w:sz w:val="24"/>
        </w:rPr>
        <w:t>项目能够正常推进。</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1.3技术升级</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在质保期内，如果供应商</w:t>
      </w:r>
      <w:r>
        <w:rPr>
          <w:rFonts w:hint="eastAsia" w:ascii="方正仿宋_GBK" w:hAnsi="宋体" w:eastAsia="方正仿宋_GBK" w:cs="宋体"/>
          <w:color w:val="auto"/>
          <w:kern w:val="0"/>
          <w:sz w:val="24"/>
          <w:lang w:val="en-US" w:eastAsia="zh-CN"/>
        </w:rPr>
        <w:t>服务</w:t>
      </w:r>
      <w:r>
        <w:rPr>
          <w:rFonts w:hint="eastAsia" w:ascii="方正仿宋_GBK" w:hAnsi="宋体" w:eastAsia="方正仿宋_GBK" w:cs="宋体"/>
          <w:color w:val="auto"/>
          <w:kern w:val="0"/>
          <w:sz w:val="24"/>
        </w:rPr>
        <w:t>技术升级，供应商应及时通知采购人，如采购人有相应要求，供应商应对采购人购买的产品进行升级服务。</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2.质保期外服务要求</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2.1质量保证期过后，供应商应同样提供免费电话咨询服务，并应承诺提供上门维护服务。</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2.2质量保证期过后，采购人需要继续由原供应商提供售后服务的，该供应商应以优惠价格提供售后服务。</w:t>
      </w:r>
    </w:p>
    <w:p>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82" w:firstLineChars="200"/>
        <w:jc w:val="both"/>
        <w:textAlignment w:val="auto"/>
        <w:rPr>
          <w:rFonts w:ascii="方正仿宋_GBK" w:eastAsia="方正仿宋_GBK"/>
          <w:color w:val="000000"/>
          <w:kern w:val="2"/>
          <w:sz w:val="24"/>
          <w:szCs w:val="24"/>
        </w:rPr>
      </w:pPr>
      <w:bookmarkStart w:id="4" w:name="_Toc267320051"/>
      <w:bookmarkStart w:id="5" w:name="_Toc75793512"/>
      <w:bookmarkStart w:id="6" w:name="_Toc267320052"/>
      <w:bookmarkStart w:id="7" w:name="_Toc75793513"/>
      <w:r>
        <w:rPr>
          <w:rFonts w:ascii="方正仿宋_GBK" w:eastAsia="方正仿宋_GBK"/>
          <w:color w:val="000000"/>
          <w:kern w:val="2"/>
          <w:sz w:val="24"/>
          <w:szCs w:val="24"/>
        </w:rPr>
        <w:t>四、付款方式</w:t>
      </w:r>
      <w:bookmarkEnd w:id="4"/>
      <w:bookmarkEnd w:id="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000000"/>
          <w:sz w:val="24"/>
        </w:rPr>
      </w:pPr>
      <w:r>
        <w:rPr>
          <w:rFonts w:hint="eastAsia" w:ascii="方正仿宋_GBK" w:hAnsi="宋体" w:eastAsia="方正仿宋_GBK"/>
          <w:color w:val="000000"/>
          <w:sz w:val="24"/>
        </w:rPr>
        <w:t>服务类：验收合格后，成交供应商向采购人提供增值税普通（或专用）发票，采购人向成交供应商支付合同全款。</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ascii="方正仿宋_GBK" w:eastAsia="方正仿宋_GBK"/>
          <w:color w:val="auto"/>
          <w:kern w:val="2"/>
          <w:sz w:val="24"/>
          <w:szCs w:val="24"/>
        </w:rPr>
        <w:t>知识产权</w:t>
      </w:r>
      <w:bookmarkEnd w:id="6"/>
      <w:bookmarkEnd w:id="7"/>
    </w:p>
    <w:p>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采购人在中华人民共和国境内使用成交供应商提供的货物及服务时免受第三方提出的侵犯其专利权</w:t>
      </w:r>
      <w:r>
        <w:rPr>
          <w:rFonts w:hint="eastAsia" w:ascii="方正仿宋_GBK" w:hAnsi="宋体" w:eastAsia="方正仿宋_GBK"/>
          <w:color w:val="auto"/>
          <w:sz w:val="24"/>
          <w:lang w:eastAsia="zh-CN"/>
        </w:rPr>
        <w:t>或其他</w:t>
      </w:r>
      <w:r>
        <w:rPr>
          <w:rFonts w:hint="eastAsia" w:ascii="方正仿宋_GBK" w:hAnsi="宋体" w:eastAsia="方正仿宋_GBK"/>
          <w:color w:val="auto"/>
          <w:sz w:val="24"/>
        </w:rPr>
        <w:t>知识产权的起诉。如果第三方提出侵权指控，成交供应商应承担由此而引起的一切法律责任和费用。</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注：（若涉及软件开发等服务类项目知识产权的，知识产权归采购人所有）。</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方正仿宋_GBK" w:eastAsia="方正仿宋_GBK"/>
          <w:color w:val="auto"/>
          <w:kern w:val="2"/>
          <w:sz w:val="24"/>
          <w:szCs w:val="24"/>
          <w:lang w:val="en-US" w:eastAsia="zh-CN"/>
        </w:rPr>
        <w:t>违约责任</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1.供应商所交付的货物不符合本合同规定的，采购人有权拒收，供应商在得到采购人通知之日起 5 个工作日内采取补救措施，逾期仍未采取有效措施的，采购人有权要求供应商赔偿因此造成的损失或扣留履约保证金；同时供应商应向采购人支付合同总价 2 ％的违约金。</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2</w:t>
      </w:r>
      <w:r>
        <w:rPr>
          <w:rFonts w:hint="eastAsia" w:ascii="方正仿宋_GBK" w:hAnsi="宋体" w:eastAsia="方正仿宋_GBK"/>
          <w:color w:val="auto"/>
          <w:sz w:val="24"/>
        </w:rPr>
        <w:t>.供应商无正当理由逾期交付货物的，每逾期1周，供应商向采购人偿付逾期交货部分货款总额的1‰的违约金。如供应商逾期交货达 60 天，采购人有权解除合同，采购人解除合同的通知自到达供应商时生效。在此情况下，供应商给采购人造成的实际损失高于违约金的，对高出违约金的部分供应商应予以赔偿。</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3</w:t>
      </w:r>
      <w:r>
        <w:rPr>
          <w:rFonts w:hint="eastAsia" w:ascii="方正仿宋_GBK" w:hAnsi="宋体" w:eastAsia="方正仿宋_GBK"/>
          <w:color w:val="auto"/>
          <w:sz w:val="24"/>
        </w:rPr>
        <w:t>.其它未尽事宜，以《民法典》和《政府采购法》等有关法律法规规定为准，无相关规定的，双方协商解决。</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方正仿宋_GBK" w:eastAsia="方正仿宋_GBK"/>
          <w:color w:val="auto"/>
          <w:kern w:val="2"/>
          <w:sz w:val="24"/>
          <w:szCs w:val="24"/>
          <w:lang w:val="en-US" w:eastAsia="zh-CN"/>
        </w:rPr>
        <w:t>不可抗力</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供需双方中任何一方，因不可抗力不能按时或完全履行合同的，应及时通知对方，并在 5 个工作日内提供相应证明。未履行完合同部分是否继续履行、如何履行等问题，可由双方初步协商，并向主管部门和政府采购管理部门报告。确定为不可抗力原因造成的损失，免予承担责任。</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宋体" w:hAnsi="宋体" w:cs="宋体"/>
          <w:color w:val="auto"/>
          <w:sz w:val="24"/>
          <w:szCs w:val="24"/>
        </w:rPr>
        <w:t>其他</w:t>
      </w:r>
    </w:p>
    <w:p>
      <w:pPr>
        <w:numPr>
          <w:ilvl w:val="0"/>
          <w:numId w:val="4"/>
        </w:num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供应商必须在投标文件中对以上条款和服务承诺明确列出，承诺内容必须达到本篇及招标文件其他条款的要求。</w:t>
      </w:r>
    </w:p>
    <w:p>
      <w:pPr>
        <w:numPr>
          <w:ilvl w:val="0"/>
          <w:numId w:val="4"/>
        </w:numPr>
        <w:snapToGrid w:val="0"/>
        <w:spacing w:line="400" w:lineRule="exact"/>
        <w:ind w:left="0" w:leftChars="0" w:firstLine="540" w:firstLineChars="0"/>
        <w:rPr>
          <w:rFonts w:hint="eastAsia" w:ascii="方正仿宋_GBK" w:hAnsi="宋体" w:eastAsia="方正仿宋_GBK"/>
          <w:color w:val="auto"/>
          <w:sz w:val="24"/>
        </w:rPr>
      </w:pPr>
      <w:r>
        <w:rPr>
          <w:rFonts w:hint="eastAsia" w:ascii="方正仿宋_GBK" w:hAnsi="宋体" w:eastAsia="方正仿宋_GBK"/>
          <w:color w:val="auto"/>
          <w:sz w:val="24"/>
        </w:rPr>
        <w:t>其他未尽事宜由供需双方在采购合同中详细约定。</w:t>
      </w:r>
    </w:p>
    <w:p>
      <w:pPr>
        <w:rPr>
          <w:color w:val="auto"/>
          <w:sz w:val="28"/>
          <w:szCs w:val="28"/>
        </w:rPr>
      </w:pPr>
    </w:p>
    <w:sectPr>
      <w:pgSz w:w="11906" w:h="16838"/>
      <w:pgMar w:top="1440" w:right="1417" w:bottom="1440"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45D1B"/>
    <w:multiLevelType w:val="singleLevel"/>
    <w:tmpl w:val="BE845D1B"/>
    <w:lvl w:ilvl="0" w:tentative="0">
      <w:start w:val="1"/>
      <w:numFmt w:val="chineseCounting"/>
      <w:suff w:val="nothing"/>
      <w:lvlText w:val="（%1）"/>
      <w:lvlJc w:val="left"/>
      <w:rPr>
        <w:rFonts w:hint="eastAsia"/>
      </w:rPr>
    </w:lvl>
  </w:abstractNum>
  <w:abstractNum w:abstractNumId="1">
    <w:nsid w:val="D57B7405"/>
    <w:multiLevelType w:val="singleLevel"/>
    <w:tmpl w:val="D57B7405"/>
    <w:lvl w:ilvl="0" w:tentative="0">
      <w:start w:val="1"/>
      <w:numFmt w:val="chineseCounting"/>
      <w:suff w:val="nothing"/>
      <w:lvlText w:val="%1、"/>
      <w:lvlJc w:val="left"/>
      <w:pPr>
        <w:ind w:left="210" w:firstLine="420"/>
      </w:pPr>
      <w:rPr>
        <w:rFonts w:hint="eastAsia"/>
      </w:rPr>
    </w:lvl>
  </w:abstractNum>
  <w:abstractNum w:abstractNumId="2">
    <w:nsid w:val="F0032AD8"/>
    <w:multiLevelType w:val="singleLevel"/>
    <w:tmpl w:val="F0032AD8"/>
    <w:lvl w:ilvl="0" w:tentative="0">
      <w:start w:val="1"/>
      <w:numFmt w:val="decimal"/>
      <w:suff w:val="space"/>
      <w:lvlText w:val="%1."/>
      <w:lvlJc w:val="left"/>
    </w:lvl>
  </w:abstractNum>
  <w:abstractNum w:abstractNumId="3">
    <w:nsid w:val="4709DA22"/>
    <w:multiLevelType w:val="singleLevel"/>
    <w:tmpl w:val="4709DA22"/>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DRlNGQ2NDBlMDZiY2Y2YjAxZTE4YWE2ZTMxNTgifQ=="/>
  </w:docVars>
  <w:rsids>
    <w:rsidRoot w:val="11955B8B"/>
    <w:rsid w:val="005F2DA6"/>
    <w:rsid w:val="01422D11"/>
    <w:rsid w:val="034D2242"/>
    <w:rsid w:val="03795BF7"/>
    <w:rsid w:val="03D93043"/>
    <w:rsid w:val="04893C18"/>
    <w:rsid w:val="07632E46"/>
    <w:rsid w:val="07C37441"/>
    <w:rsid w:val="08597DA5"/>
    <w:rsid w:val="08CE42EF"/>
    <w:rsid w:val="094445B2"/>
    <w:rsid w:val="09FC40C9"/>
    <w:rsid w:val="0D0F2F1E"/>
    <w:rsid w:val="0E2B09DF"/>
    <w:rsid w:val="0E8F62CF"/>
    <w:rsid w:val="0EB40D91"/>
    <w:rsid w:val="0F3B0F56"/>
    <w:rsid w:val="0F515C7A"/>
    <w:rsid w:val="0FAD1102"/>
    <w:rsid w:val="101747CE"/>
    <w:rsid w:val="102249AC"/>
    <w:rsid w:val="104A4BA3"/>
    <w:rsid w:val="11955B8B"/>
    <w:rsid w:val="12460D4D"/>
    <w:rsid w:val="129F23BC"/>
    <w:rsid w:val="12EE0019"/>
    <w:rsid w:val="13143247"/>
    <w:rsid w:val="134F0723"/>
    <w:rsid w:val="1389559C"/>
    <w:rsid w:val="15025C70"/>
    <w:rsid w:val="15091AF6"/>
    <w:rsid w:val="162A0E60"/>
    <w:rsid w:val="16500A3A"/>
    <w:rsid w:val="16AD19E8"/>
    <w:rsid w:val="170535D2"/>
    <w:rsid w:val="173543E5"/>
    <w:rsid w:val="179D7CAF"/>
    <w:rsid w:val="1977472B"/>
    <w:rsid w:val="1A864A2A"/>
    <w:rsid w:val="1B46065D"/>
    <w:rsid w:val="1D7F2060"/>
    <w:rsid w:val="1DA677DE"/>
    <w:rsid w:val="1FED1557"/>
    <w:rsid w:val="2094622D"/>
    <w:rsid w:val="21257950"/>
    <w:rsid w:val="212E1C78"/>
    <w:rsid w:val="21947F69"/>
    <w:rsid w:val="229D7411"/>
    <w:rsid w:val="23902475"/>
    <w:rsid w:val="246904F2"/>
    <w:rsid w:val="25BF5294"/>
    <w:rsid w:val="26BC7A25"/>
    <w:rsid w:val="27BC2C0C"/>
    <w:rsid w:val="298A432D"/>
    <w:rsid w:val="2A332A22"/>
    <w:rsid w:val="2A563A63"/>
    <w:rsid w:val="2B0E176C"/>
    <w:rsid w:val="2B2E5F8F"/>
    <w:rsid w:val="2C365B84"/>
    <w:rsid w:val="2CBA4A07"/>
    <w:rsid w:val="2E8B02C4"/>
    <w:rsid w:val="2F4F0632"/>
    <w:rsid w:val="3052363A"/>
    <w:rsid w:val="30D32740"/>
    <w:rsid w:val="30ED53AB"/>
    <w:rsid w:val="311741D6"/>
    <w:rsid w:val="316D604B"/>
    <w:rsid w:val="33447433"/>
    <w:rsid w:val="346C2A8B"/>
    <w:rsid w:val="36252EF1"/>
    <w:rsid w:val="36524824"/>
    <w:rsid w:val="36E637A2"/>
    <w:rsid w:val="3A9E14C4"/>
    <w:rsid w:val="3BE455FD"/>
    <w:rsid w:val="3DFF671E"/>
    <w:rsid w:val="3E0A3EC6"/>
    <w:rsid w:val="3E2A390F"/>
    <w:rsid w:val="3E442382"/>
    <w:rsid w:val="3E4B54BF"/>
    <w:rsid w:val="436B40C0"/>
    <w:rsid w:val="43CC0E50"/>
    <w:rsid w:val="43DE2931"/>
    <w:rsid w:val="4525349D"/>
    <w:rsid w:val="461B5233"/>
    <w:rsid w:val="46442A10"/>
    <w:rsid w:val="465E64D8"/>
    <w:rsid w:val="47386304"/>
    <w:rsid w:val="47562867"/>
    <w:rsid w:val="4766336A"/>
    <w:rsid w:val="49BC20A9"/>
    <w:rsid w:val="4A1A5BDD"/>
    <w:rsid w:val="4A5E4273"/>
    <w:rsid w:val="4A7B537E"/>
    <w:rsid w:val="4B0E61F2"/>
    <w:rsid w:val="4D387556"/>
    <w:rsid w:val="4D427FE8"/>
    <w:rsid w:val="4E733ED3"/>
    <w:rsid w:val="4EA11120"/>
    <w:rsid w:val="4EDD2163"/>
    <w:rsid w:val="50836453"/>
    <w:rsid w:val="511B6D78"/>
    <w:rsid w:val="51656D01"/>
    <w:rsid w:val="5233653E"/>
    <w:rsid w:val="52461B27"/>
    <w:rsid w:val="547F40EA"/>
    <w:rsid w:val="54CD48DE"/>
    <w:rsid w:val="55254864"/>
    <w:rsid w:val="57DA02DD"/>
    <w:rsid w:val="57DD7C07"/>
    <w:rsid w:val="57FD5624"/>
    <w:rsid w:val="5C3704D9"/>
    <w:rsid w:val="5D4D7AA3"/>
    <w:rsid w:val="5EC155FD"/>
    <w:rsid w:val="5F781A34"/>
    <w:rsid w:val="61202383"/>
    <w:rsid w:val="62B66AFB"/>
    <w:rsid w:val="630F26B0"/>
    <w:rsid w:val="63CD2E60"/>
    <w:rsid w:val="64A136EE"/>
    <w:rsid w:val="65E00A19"/>
    <w:rsid w:val="66124991"/>
    <w:rsid w:val="66AA0E09"/>
    <w:rsid w:val="688821DC"/>
    <w:rsid w:val="68C06D53"/>
    <w:rsid w:val="69B55D5F"/>
    <w:rsid w:val="69DC36FF"/>
    <w:rsid w:val="6ACA7D81"/>
    <w:rsid w:val="6BB32772"/>
    <w:rsid w:val="6C314B7A"/>
    <w:rsid w:val="6C586E75"/>
    <w:rsid w:val="6DA57E98"/>
    <w:rsid w:val="6DAA3701"/>
    <w:rsid w:val="6ECB1B80"/>
    <w:rsid w:val="6F4B1580"/>
    <w:rsid w:val="6FA256E9"/>
    <w:rsid w:val="7057776D"/>
    <w:rsid w:val="71DF416E"/>
    <w:rsid w:val="723B701D"/>
    <w:rsid w:val="73AB3D2F"/>
    <w:rsid w:val="7429230C"/>
    <w:rsid w:val="745A0E4C"/>
    <w:rsid w:val="74956EB9"/>
    <w:rsid w:val="74F84EB0"/>
    <w:rsid w:val="760F78EA"/>
    <w:rsid w:val="76320737"/>
    <w:rsid w:val="76F459ED"/>
    <w:rsid w:val="77DC4DFE"/>
    <w:rsid w:val="79A64FAB"/>
    <w:rsid w:val="7A00611B"/>
    <w:rsid w:val="7D8E3B93"/>
    <w:rsid w:val="7E174DE1"/>
    <w:rsid w:val="7E8B290D"/>
    <w:rsid w:val="7F5C4E71"/>
    <w:rsid w:val="7F710522"/>
    <w:rsid w:val="7FF9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rPr>
      <w:szCs w:val="20"/>
    </w:rPr>
  </w:style>
  <w:style w:type="paragraph" w:styleId="5">
    <w:name w:val="Body Text"/>
    <w:basedOn w:val="1"/>
    <w:autoRedefine/>
    <w:qFormat/>
    <w:uiPriority w:val="0"/>
    <w:rPr>
      <w:rFonts w:ascii="仿宋_GB2312" w:eastAsia="仿宋_GB2312"/>
      <w:kern w:val="2"/>
      <w:sz w:val="32"/>
    </w:rPr>
  </w:style>
  <w:style w:type="paragraph" w:styleId="6">
    <w:name w:val="Plain Text"/>
    <w:basedOn w:val="1"/>
    <w:autoRedefine/>
    <w:qFormat/>
    <w:uiPriority w:val="0"/>
    <w:rPr>
      <w:rFonts w:ascii="宋体" w:hAnsi="Courier New"/>
      <w:szCs w:val="21"/>
    </w:rPr>
  </w:style>
  <w:style w:type="paragraph" w:styleId="7">
    <w:name w:val="Balloon Text"/>
    <w:basedOn w:val="1"/>
    <w:qFormat/>
    <w:uiPriority w:val="0"/>
    <w:rPr>
      <w:sz w:val="18"/>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character" w:styleId="13">
    <w:name w:val="Strong"/>
    <w:basedOn w:val="12"/>
    <w:qFormat/>
    <w:uiPriority w:val="0"/>
    <w:rPr>
      <w:b/>
    </w:rPr>
  </w:style>
  <w:style w:type="character" w:styleId="14">
    <w:name w:val="Hyperlink"/>
    <w:autoRedefine/>
    <w:qFormat/>
    <w:uiPriority w:val="0"/>
    <w:rPr>
      <w:color w:val="0000FF"/>
      <w:u w:val="single"/>
    </w:rPr>
  </w:style>
  <w:style w:type="character" w:styleId="15">
    <w:name w:val="annotation reference"/>
    <w:autoRedefine/>
    <w:qFormat/>
    <w:uiPriority w:val="0"/>
    <w:rPr>
      <w:sz w:val="21"/>
      <w:szCs w:val="21"/>
    </w:rPr>
  </w:style>
  <w:style w:type="paragraph" w:customStyle="1" w:styleId="16">
    <w:name w:val="图例"/>
    <w:basedOn w:val="1"/>
    <w:autoRedefine/>
    <w:qFormat/>
    <w:uiPriority w:val="0"/>
    <w:pPr>
      <w:spacing w:before="120" w:after="120" w:line="360" w:lineRule="auto"/>
      <w:jc w:val="center"/>
    </w:pPr>
    <w:rPr>
      <w:rFonts w:eastAsia="仿宋_GB2312"/>
      <w:b/>
      <w:sz w:val="24"/>
    </w:rPr>
  </w:style>
  <w:style w:type="paragraph" w:customStyle="1" w:styleId="17">
    <w:name w:val="Normal"/>
    <w:autoRedefine/>
    <w:qFormat/>
    <w:uiPriority w:val="0"/>
    <w:pPr>
      <w:jc w:val="both"/>
    </w:pPr>
    <w:rPr>
      <w:rFonts w:ascii="Calibri" w:hAnsi="Calibri" w:eastAsia="宋体" w:cs="Calibri"/>
      <w:kern w:val="2"/>
      <w:sz w:val="21"/>
      <w:szCs w:val="21"/>
      <w:lang w:val="en-US" w:eastAsia="zh-CN" w:bidi="ar-SA"/>
    </w:rPr>
  </w:style>
  <w:style w:type="paragraph" w:customStyle="1" w:styleId="18">
    <w:name w:val="正文文本缩进1"/>
    <w:basedOn w:val="19"/>
    <w:autoRedefine/>
    <w:qFormat/>
    <w:uiPriority w:val="0"/>
    <w:pPr>
      <w:spacing w:line="700" w:lineRule="exact"/>
      <w:ind w:left="960"/>
    </w:pPr>
    <w:rPr>
      <w:rFonts w:ascii="Calibri" w:hAnsi="Calibri"/>
      <w:kern w:val="2"/>
      <w:sz w:val="44"/>
    </w:rPr>
  </w:style>
  <w:style w:type="paragraph" w:customStyle="1" w:styleId="19">
    <w:name w:val="正文11"/>
    <w:next w:val="1"/>
    <w:autoRedefine/>
    <w:qFormat/>
    <w:uiPriority w:val="0"/>
    <w:pPr>
      <w:widowControl w:val="0"/>
      <w:jc w:val="both"/>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1921</Words>
  <Characters>2049</Characters>
  <Lines>0</Lines>
  <Paragraphs>0</Paragraphs>
  <TotalTime>14</TotalTime>
  <ScaleCrop>false</ScaleCrop>
  <LinksUpToDate>false</LinksUpToDate>
  <CharactersWithSpaces>2150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2022-10-21T02:17:00Z</dcterms:created>
  <dc:creator>＆心境＆</dc:creator>
  <cp:lastModifiedBy>唐凌云</cp:lastModifiedBy>
  <dcterms:modified xsi:type="dcterms:W3CDTF">2024-07-05T13:21:57Z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EAD67F78F58D4A5A990F81FE7C19AD08_13</vt:lpwstr>
  </property>
</Properties>
</file>