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34B52">
      <w:pPr>
        <w:framePr w:wrap="auto" w:vAnchor="margin" w:hAnchor="text" w:yAlign="inline"/>
        <w:tabs>
          <w:tab w:val="center" w:pos="4819"/>
        </w:tabs>
        <w:spacing w:line="360" w:lineRule="auto"/>
        <w:ind w:right="110"/>
        <w:jc w:val="center"/>
        <w:rPr>
          <w:rFonts w:ascii="Songti SC Bold" w:hAnsi="Songti SC Bold" w:eastAsia="Songti SC Bold" w:cs="Songti SC Bold"/>
          <w:b/>
          <w:bCs/>
          <w:sz w:val="28"/>
          <w:szCs w:val="28"/>
        </w:rPr>
      </w:pPr>
    </w:p>
    <w:p w14:paraId="778489D4">
      <w:pPr>
        <w:framePr w:wrap="auto" w:vAnchor="margin" w:hAnchor="text" w:yAlign="inline"/>
        <w:spacing w:line="360" w:lineRule="auto"/>
        <w:jc w:val="center"/>
        <w:rPr>
          <w:rFonts w:hint="eastAsia" w:ascii="Songti SC Regular" w:hAnsi="Songti SC Regular" w:eastAsia="Songti SC Regular" w:cs="Songti SC Regular"/>
          <w:b/>
          <w:bCs/>
          <w:sz w:val="40"/>
          <w:szCs w:val="40"/>
        </w:rPr>
      </w:pPr>
      <w:r>
        <w:rPr>
          <w:rFonts w:hint="eastAsia" w:ascii="Songti SC Regular" w:hAnsi="Songti SC Regular" w:eastAsia="Songti SC Regular" w:cs="Songti SC Regular"/>
          <w:b/>
          <w:bCs/>
          <w:sz w:val="40"/>
          <w:szCs w:val="40"/>
        </w:rPr>
        <w:t>合作企业遴选条件及评分标准</w:t>
      </w:r>
    </w:p>
    <w:p w14:paraId="478806DC">
      <w:pPr>
        <w:framePr w:wrap="auto" w:vAnchor="margin" w:hAnchor="text" w:yAlign="inline"/>
        <w:spacing w:line="360" w:lineRule="auto"/>
        <w:rPr>
          <w:rFonts w:asciiTheme="minorEastAsia" w:hAnsiTheme="minorEastAsia" w:eastAsiaTheme="minorEastAsia" w:cstheme="minorEastAsia"/>
          <w:sz w:val="18"/>
          <w:szCs w:val="18"/>
        </w:rPr>
      </w:pPr>
    </w:p>
    <w:p w14:paraId="11CE0256">
      <w:pPr>
        <w:framePr w:wrap="auto" w:vAnchor="margin" w:hAnchor="text" w:yAlign="inline"/>
        <w:numPr>
          <w:ilvl w:val="0"/>
          <w:numId w:val="1"/>
        </w:numPr>
        <w:spacing w:line="360" w:lineRule="auto"/>
        <w:rPr>
          <w:rFonts w:asciiTheme="minorEastAsia" w:hAnsiTheme="minorEastAsia" w:eastAsiaTheme="minorEastAsia" w:cstheme="minorEastAsia"/>
          <w:b/>
          <w:bCs/>
          <w:sz w:val="24"/>
          <w:szCs w:val="24"/>
          <w:u w:val="single"/>
          <w:lang w:eastAsia="zh-Hans"/>
        </w:rPr>
      </w:pPr>
      <w:r>
        <w:rPr>
          <w:rFonts w:hint="eastAsia" w:asciiTheme="minorEastAsia" w:hAnsiTheme="minorEastAsia" w:eastAsiaTheme="minorEastAsia" w:cstheme="minorEastAsia"/>
          <w:b/>
          <w:bCs/>
          <w:sz w:val="24"/>
          <w:szCs w:val="24"/>
          <w:u w:val="single"/>
          <w:lang w:val="en-US" w:eastAsia="zh-CN"/>
        </w:rPr>
        <w:t>企业</w:t>
      </w:r>
      <w:r>
        <w:rPr>
          <w:rFonts w:hint="eastAsia" w:asciiTheme="minorEastAsia" w:hAnsiTheme="minorEastAsia" w:eastAsiaTheme="minorEastAsia" w:cstheme="minorEastAsia"/>
          <w:b/>
          <w:bCs/>
          <w:sz w:val="24"/>
          <w:szCs w:val="24"/>
          <w:u w:val="single"/>
          <w:lang w:eastAsia="zh-Hans"/>
        </w:rPr>
        <w:t>资质要求</w:t>
      </w:r>
    </w:p>
    <w:p w14:paraId="0FBDC29C">
      <w:pPr>
        <w:framePr w:wrap="auto" w:vAnchor="margin" w:hAnchor="text" w:yAlign="inline"/>
        <w:numPr>
          <w:ilvl w:val="0"/>
          <w:numId w:val="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Hans"/>
        </w:rPr>
        <w:t>学</w:t>
      </w:r>
      <w:r>
        <w:rPr>
          <w:rFonts w:asciiTheme="minorEastAsia" w:hAnsiTheme="minorEastAsia" w:eastAsiaTheme="minorEastAsia" w:cstheme="minorEastAsia"/>
          <w:sz w:val="24"/>
          <w:szCs w:val="24"/>
          <w:lang w:eastAsia="zh-Hans"/>
        </w:rPr>
        <w:t>校与</w:t>
      </w:r>
      <w:r>
        <w:rPr>
          <w:rFonts w:hint="eastAsia" w:asciiTheme="minorEastAsia" w:hAnsiTheme="minorEastAsia" w:eastAsiaTheme="minorEastAsia" w:cstheme="minorEastAsia"/>
          <w:sz w:val="24"/>
          <w:szCs w:val="24"/>
          <w:lang w:val="en-US" w:eastAsia="zh-CN"/>
        </w:rPr>
        <w:t>企业总部或重庆市分公司</w:t>
      </w:r>
      <w:r>
        <w:rPr>
          <w:rFonts w:asciiTheme="minorEastAsia" w:hAnsiTheme="minorEastAsia" w:eastAsiaTheme="minorEastAsia" w:cstheme="minorEastAsia"/>
          <w:sz w:val="24"/>
          <w:szCs w:val="24"/>
          <w:lang w:eastAsia="zh-Hans"/>
        </w:rPr>
        <w:t>签约，</w:t>
      </w: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lang w:eastAsia="zh-Hans"/>
        </w:rPr>
        <w:t>拥有独立品牌</w:t>
      </w:r>
      <w:r>
        <w:rPr>
          <w:rFonts w:hint="eastAsia" w:asciiTheme="minorEastAsia" w:hAnsiTheme="minorEastAsia" w:eastAsiaTheme="minorEastAsia" w:cstheme="minorEastAsia"/>
          <w:sz w:val="24"/>
          <w:szCs w:val="24"/>
          <w:lang w:val="en-US" w:eastAsia="zh-CN"/>
        </w:rPr>
        <w:t>运营</w:t>
      </w:r>
      <w:r>
        <w:rPr>
          <w:rFonts w:hint="eastAsia" w:asciiTheme="minorEastAsia" w:hAnsiTheme="minorEastAsia" w:eastAsiaTheme="minorEastAsia" w:cstheme="minorEastAsia"/>
          <w:sz w:val="24"/>
          <w:szCs w:val="24"/>
          <w:lang w:eastAsia="zh-Hans"/>
        </w:rPr>
        <w:t>体系</w:t>
      </w:r>
      <w:r>
        <w:rPr>
          <w:rFonts w:hint="eastAsia" w:asciiTheme="minorEastAsia" w:hAnsiTheme="minorEastAsia" w:eastAsiaTheme="minorEastAsia" w:cstheme="minorEastAsia"/>
          <w:sz w:val="24"/>
          <w:szCs w:val="24"/>
        </w:rPr>
        <w:t>；</w:t>
      </w:r>
    </w:p>
    <w:p w14:paraId="21A40B78">
      <w:pPr>
        <w:framePr w:wrap="auto" w:vAnchor="margin" w:hAnchor="text" w:yAlign="inline"/>
        <w:numPr>
          <w:ilvl w:val="0"/>
          <w:numId w:val="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中国连锁经营协会发布的近5年《中国连锁百强》排名前20品牌连锁企业优先；</w:t>
      </w:r>
    </w:p>
    <w:p w14:paraId="2274E62C">
      <w:pPr>
        <w:framePr w:wrap="auto" w:vAnchor="margin" w:hAnchor="text" w:yAlign="inline"/>
        <w:numPr>
          <w:ilvl w:val="0"/>
          <w:numId w:val="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入选省（直辖市）100强企业优先；</w:t>
      </w:r>
    </w:p>
    <w:p w14:paraId="253A451E">
      <w:pPr>
        <w:framePr w:wrap="auto" w:vAnchor="margin" w:hAnchor="text" w:yAlign="inline"/>
        <w:numPr>
          <w:ilvl w:val="0"/>
          <w:numId w:val="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入选国家级或省部级产教融合型企业优先；</w:t>
      </w:r>
    </w:p>
    <w:p w14:paraId="4E1D480B">
      <w:pPr>
        <w:framePr w:wrap="auto" w:vAnchor="margin" w:hAnchor="text" w:yAlign="inline"/>
        <w:numPr>
          <w:ilvl w:val="0"/>
          <w:numId w:val="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具有丰富的产教融合经验并获得过省部级以上产教融合成果的优先。</w:t>
      </w:r>
    </w:p>
    <w:p w14:paraId="7262877F">
      <w:pPr>
        <w:framePr w:wrap="auto" w:vAnchor="margin" w:hAnchor="text" w:yAlign="inline"/>
        <w:numPr>
          <w:ilvl w:val="0"/>
          <w:numId w:val="3"/>
        </w:numPr>
        <w:spacing w:line="360" w:lineRule="auto"/>
        <w:rPr>
          <w:rFonts w:asciiTheme="minorEastAsia" w:hAnsiTheme="minorEastAsia" w:eastAsiaTheme="minorEastAsia" w:cstheme="minorEastAsia"/>
          <w:b/>
          <w:bCs/>
          <w:sz w:val="24"/>
          <w:szCs w:val="24"/>
          <w:u w:val="single"/>
          <w:lang w:eastAsia="zh-Hans"/>
        </w:rPr>
      </w:pPr>
      <w:r>
        <w:rPr>
          <w:rFonts w:hint="eastAsia" w:asciiTheme="minorEastAsia" w:hAnsiTheme="minorEastAsia" w:eastAsiaTheme="minorEastAsia" w:cstheme="minorEastAsia"/>
          <w:b/>
          <w:bCs/>
          <w:sz w:val="24"/>
          <w:szCs w:val="24"/>
          <w:u w:val="single"/>
          <w:lang w:val="en-US" w:eastAsia="zh-CN"/>
        </w:rPr>
        <w:t>共建智慧零售产业学院相关</w:t>
      </w:r>
      <w:r>
        <w:rPr>
          <w:rFonts w:hint="eastAsia" w:asciiTheme="minorEastAsia" w:hAnsiTheme="minorEastAsia" w:eastAsiaTheme="minorEastAsia" w:cstheme="minorEastAsia"/>
          <w:b/>
          <w:bCs/>
          <w:sz w:val="24"/>
          <w:szCs w:val="24"/>
          <w:u w:val="single"/>
          <w:lang w:eastAsia="zh-Hans"/>
        </w:rPr>
        <w:t>要求</w:t>
      </w:r>
    </w:p>
    <w:p w14:paraId="7AA79374">
      <w:pPr>
        <w:framePr w:wrap="auto" w:vAnchor="margin" w:hAnchor="text" w:yAlign="inline"/>
        <w:numPr>
          <w:ilvl w:val="0"/>
          <w:numId w:val="4"/>
        </w:numPr>
        <w:spacing w:line="360"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合作方不得改变经营内容，只能</w:t>
      </w:r>
      <w:r>
        <w:rPr>
          <w:rFonts w:hint="eastAsia" w:asciiTheme="minorEastAsia" w:hAnsiTheme="minorEastAsia" w:eastAsiaTheme="minorEastAsia" w:cstheme="minorEastAsia"/>
          <w:sz w:val="24"/>
          <w:szCs w:val="24"/>
          <w:lang w:val="en-US" w:eastAsia="zh-CN"/>
        </w:rPr>
        <w:t>从事连锁零售</w:t>
      </w:r>
      <w:r>
        <w:rPr>
          <w:rFonts w:hint="eastAsia" w:asciiTheme="minorEastAsia" w:hAnsiTheme="minorEastAsia" w:eastAsiaTheme="minorEastAsia" w:cstheme="minorEastAsia"/>
          <w:sz w:val="24"/>
          <w:szCs w:val="24"/>
          <w:lang w:eastAsia="zh-Hans"/>
        </w:rPr>
        <w:t>经营，不得私自转包，不得将标的物担保、抵押贷款等。不得在其中从事违反法律法规以及校方禁止开设的业务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学校不参与生产经营性智慧零售门店的日常经营，企业实行自负盈亏，但需按要求接受学校相关部门的监管。</w:t>
      </w:r>
    </w:p>
    <w:p w14:paraId="6BEA215D">
      <w:pPr>
        <w:framePr w:wrap="auto" w:vAnchor="margin" w:hAnchor="text" w:yAlign="inline"/>
        <w:spacing w:line="360" w:lineRule="auto"/>
        <w:rPr>
          <w:rFonts w:hint="eastAsia" w:asciiTheme="minorEastAsia" w:hAnsiTheme="minorEastAsia" w:eastAsiaTheme="minorEastAsia" w:cstheme="minorEastAsia"/>
          <w:sz w:val="24"/>
          <w:szCs w:val="24"/>
          <w:lang w:val="en-US" w:eastAsia="zh-CN"/>
        </w:rPr>
      </w:pPr>
      <w:r>
        <w:rPr>
          <w:rFonts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二</w:t>
      </w:r>
      <w:r>
        <w:rPr>
          <w:rFonts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遴选</w:t>
      </w:r>
      <w:r>
        <w:rPr>
          <w:rFonts w:asciiTheme="minorEastAsia" w:hAnsiTheme="minorEastAsia" w:eastAsiaTheme="minorEastAsia" w:cstheme="minorEastAsia"/>
          <w:sz w:val="24"/>
          <w:szCs w:val="24"/>
          <w:lang w:eastAsia="zh-Hans"/>
        </w:rPr>
        <w:t>工作完成签订协议后，合作方开展</w:t>
      </w:r>
      <w:r>
        <w:rPr>
          <w:rFonts w:hint="eastAsia" w:asciiTheme="minorEastAsia" w:hAnsiTheme="minorEastAsia" w:eastAsiaTheme="minorEastAsia" w:cstheme="minorEastAsia"/>
          <w:sz w:val="24"/>
          <w:szCs w:val="24"/>
          <w:lang w:val="en-US" w:eastAsia="zh-CN"/>
        </w:rPr>
        <w:t>智慧零售产业学院生产营业区和教育教学区的</w:t>
      </w:r>
      <w:r>
        <w:rPr>
          <w:rFonts w:hint="eastAsia" w:asciiTheme="minorEastAsia" w:hAnsiTheme="minorEastAsia" w:eastAsiaTheme="minorEastAsia" w:cstheme="minorEastAsia"/>
          <w:sz w:val="24"/>
          <w:szCs w:val="24"/>
          <w:lang w:eastAsia="zh-Hans"/>
        </w:rPr>
        <w:t>装修，签订协议之日起</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Hans"/>
        </w:rPr>
        <w:t>个月内完成</w:t>
      </w:r>
      <w:r>
        <w:rPr>
          <w:rFonts w:hint="eastAsia" w:asciiTheme="minorEastAsia" w:hAnsiTheme="minorEastAsia" w:eastAsiaTheme="minorEastAsia" w:cstheme="minorEastAsia"/>
          <w:sz w:val="24"/>
          <w:szCs w:val="24"/>
          <w:lang w:val="en-US" w:eastAsia="zh-CN"/>
        </w:rPr>
        <w:t>产业学院建设并投入运营和使用；</w:t>
      </w:r>
    </w:p>
    <w:p w14:paraId="5A114E98">
      <w:pPr>
        <w:framePr w:wrap="auto" w:vAnchor="margin" w:hAnchor="text" w:yAlign="inline"/>
        <w:spacing w:line="360" w:lineRule="auto"/>
        <w:rPr>
          <w:rFonts w:asciiTheme="minorEastAsia" w:hAnsiTheme="minorEastAsia" w:eastAsiaTheme="minorEastAsia" w:cstheme="minorEastAsia"/>
          <w:sz w:val="24"/>
          <w:szCs w:val="24"/>
          <w:lang w:eastAsia="zh-Hans"/>
        </w:rPr>
      </w:pPr>
      <w:r>
        <w:rPr>
          <w:rFonts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三</w:t>
      </w:r>
      <w:r>
        <w:rPr>
          <w:rFonts w:asciiTheme="minorEastAsia" w:hAnsiTheme="minorEastAsia" w:eastAsiaTheme="minorEastAsia" w:cstheme="minorEastAsia"/>
          <w:sz w:val="24"/>
          <w:szCs w:val="24"/>
          <w:lang w:eastAsia="zh-Hans"/>
        </w:rPr>
        <w:t>）合作方负责的</w:t>
      </w:r>
      <w:r>
        <w:rPr>
          <w:rFonts w:hint="eastAsia" w:asciiTheme="minorEastAsia" w:hAnsiTheme="minorEastAsia" w:eastAsiaTheme="minorEastAsia" w:cstheme="minorEastAsia"/>
          <w:sz w:val="24"/>
          <w:szCs w:val="24"/>
          <w:lang w:eastAsia="zh-Hans"/>
        </w:rPr>
        <w:t>经营，要</w:t>
      </w:r>
      <w:r>
        <w:rPr>
          <w:rFonts w:asciiTheme="minorEastAsia" w:hAnsiTheme="minorEastAsia" w:eastAsiaTheme="minorEastAsia" w:cstheme="minorEastAsia"/>
          <w:sz w:val="24"/>
          <w:szCs w:val="24"/>
          <w:lang w:eastAsia="zh-Hans"/>
        </w:rPr>
        <w:t>与校方</w:t>
      </w:r>
      <w:r>
        <w:rPr>
          <w:rFonts w:hint="eastAsia" w:asciiTheme="minorEastAsia" w:hAnsiTheme="minorEastAsia" w:eastAsiaTheme="minorEastAsia" w:cstheme="minorEastAsia"/>
          <w:sz w:val="24"/>
          <w:szCs w:val="24"/>
          <w:lang w:eastAsia="zh-Hans"/>
        </w:rPr>
        <w:t>确认</w:t>
      </w:r>
      <w:r>
        <w:rPr>
          <w:rFonts w:asciiTheme="minorEastAsia" w:hAnsiTheme="minorEastAsia" w:eastAsiaTheme="minorEastAsia" w:cstheme="minorEastAsia"/>
          <w:sz w:val="24"/>
          <w:szCs w:val="24"/>
          <w:lang w:eastAsia="zh-Hans"/>
        </w:rPr>
        <w:t>好</w:t>
      </w:r>
      <w:r>
        <w:rPr>
          <w:rFonts w:hint="eastAsia" w:asciiTheme="minorEastAsia" w:hAnsiTheme="minorEastAsia" w:eastAsiaTheme="minorEastAsia" w:cstheme="minorEastAsia"/>
          <w:sz w:val="24"/>
          <w:szCs w:val="24"/>
          <w:lang w:eastAsia="zh-Hans"/>
        </w:rPr>
        <w:t>设</w:t>
      </w:r>
      <w:r>
        <w:rPr>
          <w:rFonts w:asciiTheme="minorEastAsia" w:hAnsiTheme="minorEastAsia" w:eastAsiaTheme="minorEastAsia" w:cstheme="minorEastAsia"/>
          <w:sz w:val="24"/>
          <w:szCs w:val="24"/>
          <w:lang w:eastAsia="zh-Hans"/>
        </w:rPr>
        <w:t>施设备等交付状态</w:t>
      </w:r>
      <w:r>
        <w:rPr>
          <w:rFonts w:hint="eastAsia" w:asciiTheme="minorEastAsia" w:hAnsiTheme="minorEastAsia" w:eastAsiaTheme="minorEastAsia" w:cstheme="minorEastAsia"/>
          <w:sz w:val="24"/>
          <w:szCs w:val="24"/>
          <w:lang w:eastAsia="zh-Hans"/>
        </w:rPr>
        <w:t>，并负责按照相关国家及地方标准进行维修维护。</w:t>
      </w:r>
    </w:p>
    <w:p w14:paraId="4D062B46">
      <w:pPr>
        <w:framePr w:wrap="auto" w:vAnchor="margin" w:hAnchor="text" w:yAlign="inline"/>
        <w:spacing w:line="360" w:lineRule="auto"/>
        <w:rPr>
          <w:rFonts w:asciiTheme="minorEastAsia" w:hAnsiTheme="minorEastAsia" w:eastAsiaTheme="minorEastAsia" w:cstheme="minorEastAsia"/>
          <w:sz w:val="24"/>
          <w:szCs w:val="24"/>
          <w:lang w:eastAsia="zh-Hans"/>
        </w:rPr>
      </w:pPr>
      <w:r>
        <w:rPr>
          <w:rFonts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四</w:t>
      </w:r>
      <w:r>
        <w:rPr>
          <w:rFonts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合作企业</w:t>
      </w:r>
      <w:r>
        <w:rPr>
          <w:rFonts w:hint="eastAsia" w:asciiTheme="minorEastAsia" w:hAnsiTheme="minorEastAsia" w:eastAsiaTheme="minorEastAsia" w:cstheme="minorEastAsia"/>
          <w:sz w:val="24"/>
          <w:szCs w:val="24"/>
          <w:lang w:eastAsia="zh-Hans"/>
        </w:rPr>
        <w:t>需根据</w:t>
      </w:r>
      <w:r>
        <w:rPr>
          <w:rFonts w:hint="eastAsia" w:asciiTheme="minorEastAsia" w:hAnsiTheme="minorEastAsia" w:eastAsiaTheme="minorEastAsia" w:cstheme="minorEastAsia"/>
          <w:sz w:val="24"/>
          <w:szCs w:val="24"/>
          <w:lang w:val="en-US" w:eastAsia="zh-CN"/>
        </w:rPr>
        <w:t>学校</w:t>
      </w:r>
      <w:r>
        <w:rPr>
          <w:rFonts w:hint="eastAsia" w:asciiTheme="minorEastAsia" w:hAnsiTheme="minorEastAsia" w:eastAsiaTheme="minorEastAsia" w:cstheme="minorEastAsia"/>
          <w:sz w:val="24"/>
          <w:szCs w:val="24"/>
          <w:lang w:eastAsia="zh-Hans"/>
        </w:rPr>
        <w:t>要求，共建</w:t>
      </w:r>
      <w:r>
        <w:rPr>
          <w:rFonts w:hint="eastAsia" w:asciiTheme="minorEastAsia" w:hAnsiTheme="minorEastAsia" w:eastAsiaTheme="minorEastAsia" w:cstheme="minorEastAsia"/>
          <w:sz w:val="24"/>
          <w:szCs w:val="24"/>
          <w:lang w:val="en-US" w:eastAsia="zh-CN"/>
        </w:rPr>
        <w:t>智慧零售</w:t>
      </w:r>
      <w:r>
        <w:rPr>
          <w:rFonts w:hint="eastAsia" w:asciiTheme="minorEastAsia" w:hAnsiTheme="minorEastAsia" w:eastAsiaTheme="minorEastAsia" w:cstheme="minorEastAsia"/>
          <w:sz w:val="24"/>
          <w:szCs w:val="24"/>
          <w:lang w:eastAsia="zh-Hans"/>
        </w:rPr>
        <w:t>产业学院</w:t>
      </w:r>
      <w:r>
        <w:rPr>
          <w:rFonts w:asciiTheme="minorEastAsia" w:hAnsiTheme="minorEastAsia" w:eastAsiaTheme="minorEastAsia" w:cstheme="minorEastAsia"/>
          <w:sz w:val="24"/>
          <w:szCs w:val="24"/>
          <w:lang w:eastAsia="zh-Hans"/>
        </w:rPr>
        <w:t>并挂牌，</w:t>
      </w:r>
      <w:r>
        <w:rPr>
          <w:rFonts w:hint="eastAsia" w:asciiTheme="minorEastAsia" w:hAnsiTheme="minorEastAsia" w:eastAsiaTheme="minorEastAsia" w:cstheme="minorEastAsia"/>
          <w:sz w:val="24"/>
          <w:szCs w:val="24"/>
          <w:lang w:val="en-US" w:eastAsia="zh-CN"/>
        </w:rPr>
        <w:t>按照合作内容和合作协议深度参与</w:t>
      </w:r>
      <w:r>
        <w:rPr>
          <w:rFonts w:hint="eastAsia" w:asciiTheme="minorEastAsia" w:hAnsiTheme="minorEastAsia" w:eastAsiaTheme="minorEastAsia" w:cstheme="minorEastAsia"/>
          <w:sz w:val="24"/>
          <w:szCs w:val="24"/>
          <w:lang w:eastAsia="zh-Hans"/>
        </w:rPr>
        <w:t>学校</w:t>
      </w:r>
      <w:r>
        <w:rPr>
          <w:rFonts w:hint="eastAsia" w:asciiTheme="minorEastAsia" w:hAnsiTheme="minorEastAsia" w:eastAsiaTheme="minorEastAsia" w:cstheme="minorEastAsia"/>
          <w:sz w:val="24"/>
          <w:szCs w:val="24"/>
          <w:lang w:val="en-US" w:eastAsia="zh-CN"/>
        </w:rPr>
        <w:t>专业建设和人才培养</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大力支持学校申报建设高水平实训基地和省部级及以上项目。</w:t>
      </w:r>
    </w:p>
    <w:p w14:paraId="4CD43CB0">
      <w:pPr>
        <w:framePr w:wrap="auto" w:vAnchor="margin" w:hAnchor="text" w:yAlign="inline"/>
        <w:numPr>
          <w:ilvl w:val="0"/>
          <w:numId w:val="3"/>
        </w:numPr>
        <w:spacing w:line="360" w:lineRule="auto"/>
        <w:rPr>
          <w:rFonts w:asciiTheme="minorEastAsia" w:hAnsiTheme="minorEastAsia" w:eastAsiaTheme="minorEastAsia" w:cstheme="minorEastAsia"/>
          <w:b/>
          <w:bCs/>
          <w:sz w:val="24"/>
          <w:szCs w:val="24"/>
          <w:u w:val="single"/>
          <w:lang w:eastAsia="zh-Hans"/>
        </w:rPr>
      </w:pPr>
      <w:r>
        <w:rPr>
          <w:rFonts w:hint="eastAsia" w:asciiTheme="minorEastAsia" w:hAnsiTheme="minorEastAsia" w:eastAsiaTheme="minorEastAsia" w:cstheme="minorEastAsia"/>
          <w:b/>
          <w:bCs/>
          <w:sz w:val="24"/>
          <w:szCs w:val="24"/>
          <w:u w:val="single"/>
          <w:lang w:eastAsia="zh-Hans"/>
        </w:rPr>
        <w:t>以下情况，合作方需无条件退出</w:t>
      </w:r>
    </w:p>
    <w:p w14:paraId="1A03F886">
      <w:pPr>
        <w:framePr w:wrap="auto" w:vAnchor="margin" w:hAnchor="text" w:yAlign="inline"/>
        <w:spacing w:line="360"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Hans"/>
        </w:rPr>
        <w:t>）合作方不能履行合同义务的；</w:t>
      </w:r>
    </w:p>
    <w:p w14:paraId="58B98BE9">
      <w:pPr>
        <w:framePr w:wrap="auto" w:vAnchor="margin" w:hAnchor="text" w:yAlign="inline"/>
        <w:spacing w:line="360"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eastAsia="zh-Hans"/>
        </w:rPr>
        <w:t>）合作方原因导致消防安全隐患及事实、不满足相关质量体系要求、违反行业监管法律法规及条例等；</w:t>
      </w:r>
    </w:p>
    <w:p w14:paraId="3CAC2DE4">
      <w:pPr>
        <w:framePr w:wrap="auto" w:vAnchor="margin" w:hAnchor="text" w:yAlign="inline"/>
        <w:spacing w:line="360"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lang w:eastAsia="zh-Hans"/>
        </w:rPr>
        <w:t>）合作方不能有效经营，导致不能满足校方</w:t>
      </w:r>
      <w:r>
        <w:rPr>
          <w:rFonts w:hint="eastAsia" w:asciiTheme="minorEastAsia" w:hAnsiTheme="minorEastAsia" w:eastAsiaTheme="minorEastAsia" w:cstheme="minorEastAsia"/>
          <w:sz w:val="24"/>
          <w:szCs w:val="24"/>
          <w:lang w:val="en-US" w:eastAsia="zh-CN"/>
        </w:rPr>
        <w:t>专业建设和人才培养等</w:t>
      </w:r>
      <w:r>
        <w:rPr>
          <w:rFonts w:hint="eastAsia" w:asciiTheme="minorEastAsia" w:hAnsiTheme="minorEastAsia" w:eastAsiaTheme="minorEastAsia" w:cstheme="minorEastAsia"/>
          <w:sz w:val="24"/>
          <w:szCs w:val="24"/>
          <w:lang w:eastAsia="zh-Hans"/>
        </w:rPr>
        <w:t>活动等要求的；</w:t>
      </w:r>
    </w:p>
    <w:p w14:paraId="23B9B3F3">
      <w:pPr>
        <w:framePr w:wrap="auto" w:vAnchor="margin" w:hAnchor="text" w:yAlign="inline"/>
        <w:spacing w:line="360"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lang w:eastAsia="zh-Hans"/>
        </w:rPr>
        <w:t>）合作方未经校方允许擅自改变经营用途；</w:t>
      </w:r>
    </w:p>
    <w:p w14:paraId="1A39A5E1">
      <w:pPr>
        <w:framePr w:wrap="auto" w:vAnchor="margin" w:hAnchor="text" w:yAlign="inline"/>
        <w:spacing w:line="360"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lang w:eastAsia="zh-Hans"/>
        </w:rPr>
        <w:t>）合作方的经营活动存在影响到重庆城市管理职业学院声誉等负面社会影响的事实；</w:t>
      </w:r>
    </w:p>
    <w:p w14:paraId="12091046">
      <w:pPr>
        <w:framePr w:wrap="auto" w:vAnchor="margin" w:hAnchor="text" w:yAlign="inline"/>
        <w:spacing w:line="360" w:lineRule="auto"/>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lang w:eastAsia="zh-Hans"/>
        </w:rPr>
        <w:t>）合作方出现</w:t>
      </w:r>
      <w:r>
        <w:rPr>
          <w:rFonts w:asciiTheme="minorEastAsia" w:hAnsiTheme="minorEastAsia" w:eastAsiaTheme="minorEastAsia" w:cstheme="minorEastAsia"/>
          <w:sz w:val="24"/>
          <w:szCs w:val="24"/>
          <w:lang w:eastAsia="zh-Hans"/>
        </w:rPr>
        <w:t>重大安全、</w:t>
      </w:r>
      <w:r>
        <w:rPr>
          <w:rFonts w:hint="eastAsia" w:asciiTheme="minorEastAsia" w:hAnsiTheme="minorEastAsia" w:eastAsiaTheme="minorEastAsia" w:cstheme="minorEastAsia"/>
          <w:sz w:val="24"/>
          <w:szCs w:val="24"/>
          <w:lang w:eastAsia="zh-Hans"/>
        </w:rPr>
        <w:t>违法违规及严重损害校方利益的行为的。</w:t>
      </w:r>
    </w:p>
    <w:p w14:paraId="045F3ED5">
      <w:pPr>
        <w:framePr w:wrap="auto" w:vAnchor="margin" w:hAnchor="text" w:yAlign="inline"/>
        <w:numPr>
          <w:ilvl w:val="0"/>
          <w:numId w:val="0"/>
        </w:numPr>
        <w:spacing w:line="360" w:lineRule="auto"/>
        <w:rPr>
          <w:rFonts w:hint="default" w:asciiTheme="minorEastAsia" w:hAnsiTheme="minorEastAsia" w:eastAsiaTheme="minorEastAsia" w:cstheme="minorEastAsia"/>
          <w:b/>
          <w:bCs/>
          <w:sz w:val="24"/>
          <w:szCs w:val="24"/>
          <w:u w:val="single"/>
          <w:lang w:val="en-US" w:eastAsia="zh-CN"/>
        </w:rPr>
      </w:pPr>
      <w:r>
        <w:rPr>
          <w:rFonts w:hint="eastAsia" w:asciiTheme="minorEastAsia" w:hAnsiTheme="minorEastAsia" w:eastAsiaTheme="minorEastAsia" w:cstheme="minorEastAsia"/>
          <w:b/>
          <w:bCs/>
          <w:sz w:val="24"/>
          <w:szCs w:val="24"/>
          <w:u w:val="none" w:color="auto"/>
          <w:lang w:val="en-US" w:eastAsia="zh-CN"/>
        </w:rPr>
        <w:t>四、</w:t>
      </w:r>
      <w:r>
        <w:rPr>
          <w:rFonts w:hint="eastAsia" w:asciiTheme="minorEastAsia" w:hAnsiTheme="minorEastAsia" w:eastAsiaTheme="minorEastAsia" w:cstheme="minorEastAsia"/>
          <w:b/>
          <w:bCs/>
          <w:sz w:val="24"/>
          <w:szCs w:val="24"/>
          <w:u w:val="single"/>
          <w:lang w:val="en-US" w:eastAsia="zh-CN"/>
        </w:rPr>
        <w:t>其他要求</w:t>
      </w:r>
    </w:p>
    <w:p w14:paraId="388CA00A">
      <w:pPr>
        <w:framePr w:wrap="auto" w:vAnchor="margin" w:hAnchor="text" w:yAlign="inline"/>
        <w:spacing w:line="360" w:lineRule="auto"/>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Hans"/>
        </w:rPr>
        <w:t>）外地企业中</w:t>
      </w:r>
      <w:r>
        <w:rPr>
          <w:rFonts w:hint="eastAsia" w:asciiTheme="minorEastAsia" w:hAnsiTheme="minorEastAsia" w:eastAsiaTheme="minorEastAsia" w:cstheme="minorEastAsia"/>
          <w:sz w:val="24"/>
          <w:szCs w:val="24"/>
          <w:lang w:val="en-US" w:eastAsia="zh-CN"/>
        </w:rPr>
        <w:t>选</w:t>
      </w:r>
      <w:r>
        <w:rPr>
          <w:rFonts w:hint="eastAsia" w:asciiTheme="minorEastAsia" w:hAnsiTheme="minorEastAsia" w:eastAsiaTheme="minorEastAsia" w:cstheme="minorEastAsia"/>
          <w:sz w:val="24"/>
          <w:szCs w:val="24"/>
          <w:lang w:eastAsia="zh-Hans"/>
        </w:rPr>
        <w:t>后需在本项目所在地（重庆市）注册成立分公司，且该公司的法定代表人或行政负责人须报甲方认可。</w:t>
      </w:r>
    </w:p>
    <w:p w14:paraId="41DA0D52">
      <w:pPr>
        <w:framePr w:wrap="auto" w:vAnchor="margin" w:hAnchor="text" w:yAlign="inline"/>
        <w:spacing w:line="360" w:lineRule="auto"/>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w:t>
      </w:r>
      <w:r>
        <w:rPr>
          <w:rFonts w:asciiTheme="minorEastAsia" w:hAnsiTheme="minorEastAsia" w:eastAsiaTheme="minorEastAsia" w:cstheme="minorEastAsia"/>
          <w:sz w:val="24"/>
          <w:szCs w:val="24"/>
          <w:lang w:eastAsia="zh-Hans"/>
        </w:rPr>
        <w:t>二）</w:t>
      </w:r>
      <w:r>
        <w:rPr>
          <w:rFonts w:hint="eastAsia" w:asciiTheme="minorEastAsia" w:hAnsiTheme="minorEastAsia" w:eastAsiaTheme="minorEastAsia" w:cstheme="minorEastAsia"/>
          <w:sz w:val="24"/>
          <w:szCs w:val="24"/>
          <w:lang w:eastAsia="zh-Hans"/>
        </w:rPr>
        <w:t>为确保</w:t>
      </w:r>
      <w:r>
        <w:rPr>
          <w:rFonts w:hint="eastAsia" w:asciiTheme="minorEastAsia" w:hAnsiTheme="minorEastAsia" w:eastAsiaTheme="minorEastAsia" w:cstheme="minorEastAsia"/>
          <w:sz w:val="24"/>
          <w:szCs w:val="24"/>
          <w:lang w:val="en-US" w:eastAsia="zh-CN"/>
        </w:rPr>
        <w:t>合作企业遴选</w:t>
      </w:r>
      <w:r>
        <w:rPr>
          <w:rFonts w:hint="eastAsia" w:asciiTheme="minorEastAsia" w:hAnsiTheme="minorEastAsia" w:eastAsiaTheme="minorEastAsia" w:cstheme="minorEastAsia"/>
          <w:sz w:val="24"/>
          <w:szCs w:val="24"/>
          <w:lang w:eastAsia="zh-Hans"/>
        </w:rPr>
        <w:t>工作的顺利进行，</w:t>
      </w:r>
      <w:r>
        <w:rPr>
          <w:rFonts w:hint="eastAsia" w:asciiTheme="minorEastAsia" w:hAnsiTheme="minorEastAsia" w:eastAsiaTheme="minorEastAsia" w:cstheme="minorEastAsia"/>
          <w:sz w:val="24"/>
          <w:szCs w:val="24"/>
          <w:lang w:val="en-US" w:eastAsia="zh-CN"/>
        </w:rPr>
        <w:t>有意向的合作企业</w:t>
      </w:r>
      <w:r>
        <w:rPr>
          <w:rFonts w:hint="eastAsia" w:asciiTheme="minorEastAsia" w:hAnsiTheme="minorEastAsia" w:eastAsiaTheme="minorEastAsia" w:cstheme="minorEastAsia"/>
          <w:sz w:val="24"/>
          <w:szCs w:val="24"/>
          <w:lang w:eastAsia="zh-Hans"/>
        </w:rPr>
        <w:t>需缴纳人民币</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Hans"/>
        </w:rPr>
        <w:t>万元整（¥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Hans"/>
        </w:rPr>
        <w:t>0000.00）保证金，</w:t>
      </w:r>
      <w:r>
        <w:rPr>
          <w:rFonts w:hint="eastAsia" w:asciiTheme="minorEastAsia" w:hAnsiTheme="minorEastAsia" w:eastAsiaTheme="minorEastAsia" w:cstheme="minorEastAsia"/>
          <w:sz w:val="24"/>
          <w:szCs w:val="24"/>
          <w:lang w:val="en-US" w:eastAsia="zh-CN"/>
        </w:rPr>
        <w:t>意向合作企业</w:t>
      </w:r>
      <w:r>
        <w:rPr>
          <w:rFonts w:hint="eastAsia" w:asciiTheme="minorEastAsia" w:hAnsiTheme="minorEastAsia" w:eastAsiaTheme="minorEastAsia" w:cstheme="minorEastAsia"/>
          <w:sz w:val="24"/>
          <w:szCs w:val="24"/>
          <w:lang w:eastAsia="zh-Hans"/>
        </w:rPr>
        <w:t>需将保证金缴纳入重庆城市管理职业学院账户，凭入账单据参加</w:t>
      </w:r>
      <w:r>
        <w:rPr>
          <w:rFonts w:hint="eastAsia" w:asciiTheme="minorEastAsia" w:hAnsiTheme="minorEastAsia" w:eastAsiaTheme="minorEastAsia" w:cstheme="minorEastAsia"/>
          <w:sz w:val="24"/>
          <w:szCs w:val="24"/>
          <w:lang w:val="en-US" w:eastAsia="zh-CN"/>
        </w:rPr>
        <w:t>遴选评分</w:t>
      </w:r>
      <w:r>
        <w:rPr>
          <w:rFonts w:hint="eastAsia" w:asciiTheme="minorEastAsia" w:hAnsiTheme="minorEastAsia" w:eastAsiaTheme="minorEastAsia" w:cstheme="minorEastAsia"/>
          <w:sz w:val="24"/>
          <w:szCs w:val="24"/>
          <w:lang w:eastAsia="zh-Hans"/>
        </w:rPr>
        <w:t>。未</w:t>
      </w:r>
      <w:r>
        <w:rPr>
          <w:rFonts w:hint="eastAsia" w:asciiTheme="minorEastAsia" w:hAnsiTheme="minorEastAsia" w:eastAsiaTheme="minorEastAsia" w:cstheme="minorEastAsia"/>
          <w:sz w:val="24"/>
          <w:szCs w:val="24"/>
          <w:lang w:val="en-US" w:eastAsia="zh-CN"/>
        </w:rPr>
        <w:t>选中</w:t>
      </w:r>
      <w:r>
        <w:rPr>
          <w:rFonts w:hint="eastAsia" w:asciiTheme="minorEastAsia" w:hAnsiTheme="minorEastAsia" w:eastAsiaTheme="minorEastAsia" w:cstheme="minorEastAsia"/>
          <w:sz w:val="24"/>
          <w:szCs w:val="24"/>
          <w:lang w:eastAsia="zh-Hans"/>
        </w:rPr>
        <w:t>者在</w:t>
      </w:r>
      <w:r>
        <w:rPr>
          <w:rFonts w:hint="eastAsia" w:asciiTheme="minorEastAsia" w:hAnsiTheme="minorEastAsia" w:eastAsiaTheme="minorEastAsia" w:cstheme="minorEastAsia"/>
          <w:sz w:val="24"/>
          <w:szCs w:val="24"/>
          <w:lang w:val="en-US" w:eastAsia="zh-CN"/>
        </w:rPr>
        <w:t>遴选工作</w:t>
      </w:r>
      <w:r>
        <w:rPr>
          <w:rFonts w:hint="eastAsia" w:asciiTheme="minorEastAsia" w:hAnsiTheme="minorEastAsia" w:eastAsiaTheme="minorEastAsia" w:cstheme="minorEastAsia"/>
          <w:sz w:val="24"/>
          <w:szCs w:val="24"/>
          <w:lang w:eastAsia="zh-Hans"/>
        </w:rPr>
        <w:t>结束后15日内一次性无息退还，</w:t>
      </w:r>
      <w:r>
        <w:rPr>
          <w:rFonts w:hint="eastAsia" w:asciiTheme="minorEastAsia" w:hAnsiTheme="minorEastAsia" w:eastAsiaTheme="minorEastAsia" w:cstheme="minorEastAsia"/>
          <w:sz w:val="24"/>
          <w:szCs w:val="24"/>
          <w:lang w:val="en-US" w:eastAsia="zh-CN"/>
        </w:rPr>
        <w:t>遴选</w:t>
      </w:r>
      <w:r>
        <w:rPr>
          <w:rFonts w:hint="eastAsia" w:asciiTheme="minorEastAsia" w:hAnsiTheme="minorEastAsia" w:eastAsiaTheme="minorEastAsia" w:cstheme="minorEastAsia"/>
          <w:sz w:val="24"/>
          <w:szCs w:val="24"/>
          <w:lang w:eastAsia="zh-Hans"/>
        </w:rPr>
        <w:t>成功者保证金在履约保证金缴纳后一次性无息退还。若</w:t>
      </w:r>
      <w:r>
        <w:rPr>
          <w:rFonts w:hint="eastAsia" w:asciiTheme="minorEastAsia" w:hAnsiTheme="minorEastAsia" w:eastAsiaTheme="minorEastAsia" w:cstheme="minorEastAsia"/>
          <w:sz w:val="24"/>
          <w:szCs w:val="24"/>
          <w:lang w:val="en-US" w:eastAsia="zh-CN"/>
        </w:rPr>
        <w:t>遴选</w:t>
      </w:r>
      <w:r>
        <w:rPr>
          <w:rFonts w:hint="eastAsia" w:asciiTheme="minorEastAsia" w:hAnsiTheme="minorEastAsia" w:eastAsiaTheme="minorEastAsia" w:cstheme="minorEastAsia"/>
          <w:sz w:val="24"/>
          <w:szCs w:val="24"/>
          <w:lang w:eastAsia="zh-Hans"/>
        </w:rPr>
        <w:t>成功者毁约，则保证金不予退还。</w:t>
      </w:r>
    </w:p>
    <w:p w14:paraId="55961E98">
      <w:pPr>
        <w:framePr w:wrap="auto" w:vAnchor="margin" w:hAnchor="text" w:yAlign="inline"/>
        <w:numPr>
          <w:ilvl w:val="0"/>
          <w:numId w:val="0"/>
        </w:numPr>
        <w:spacing w:line="360" w:lineRule="auto"/>
        <w:rPr>
          <w:rFonts w:asciiTheme="minorEastAsia" w:hAnsiTheme="minorEastAsia" w:eastAsiaTheme="minorEastAsia" w:cstheme="minorEastAsia"/>
          <w:b/>
          <w:bCs/>
          <w:sz w:val="24"/>
          <w:szCs w:val="24"/>
          <w:u w:val="single"/>
          <w:lang w:eastAsia="zh-Hans"/>
        </w:rPr>
      </w:pPr>
      <w:r>
        <w:rPr>
          <w:rFonts w:hint="eastAsia" w:asciiTheme="minorEastAsia" w:hAnsiTheme="minorEastAsia" w:eastAsiaTheme="minorEastAsia" w:cstheme="minorEastAsia"/>
          <w:b/>
          <w:bCs/>
          <w:sz w:val="24"/>
          <w:szCs w:val="24"/>
          <w:u w:val="none" w:color="auto"/>
          <w:lang w:val="en-US" w:eastAsia="zh-CN"/>
        </w:rPr>
        <w:t>五、</w:t>
      </w:r>
      <w:r>
        <w:rPr>
          <w:rFonts w:hint="eastAsia" w:asciiTheme="minorEastAsia" w:hAnsiTheme="minorEastAsia" w:eastAsiaTheme="minorEastAsia" w:cstheme="minorEastAsia"/>
          <w:b/>
          <w:bCs/>
          <w:sz w:val="24"/>
          <w:szCs w:val="24"/>
          <w:u w:val="single"/>
          <w:lang w:eastAsia="zh-Hans"/>
        </w:rPr>
        <w:t>技术标的评分</w:t>
      </w:r>
      <w:r>
        <w:rPr>
          <w:rFonts w:asciiTheme="minorEastAsia" w:hAnsiTheme="minorEastAsia" w:eastAsiaTheme="minorEastAsia" w:cstheme="minorEastAsia"/>
          <w:b/>
          <w:bCs/>
          <w:sz w:val="24"/>
          <w:szCs w:val="24"/>
          <w:u w:val="single"/>
          <w:lang w:eastAsia="zh-Hans"/>
        </w:rPr>
        <w:t>标准</w:t>
      </w:r>
    </w:p>
    <w:p w14:paraId="3AD3170C">
      <w:pPr>
        <w:framePr w:wrap="auto" w:vAnchor="margin" w:hAnchor="text" w:yAlign="inline"/>
        <w:spacing w:line="360" w:lineRule="auto"/>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技术指标评分按照百分制计算，满分100分，具体技术指标分值占比为：</w:t>
      </w:r>
    </w:p>
    <w:p w14:paraId="68EC8ECF">
      <w:pPr>
        <w:framePr w:wrap="auto" w:vAnchor="margin" w:hAnchor="text" w:yAlign="inline"/>
        <w:spacing w:line="360"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w:t>
      </w:r>
      <w:r>
        <w:rPr>
          <w:rFonts w:asciiTheme="minorEastAsia" w:hAnsiTheme="minorEastAsia" w:eastAsiaTheme="minorEastAsia" w:cstheme="minorEastAsia"/>
          <w:sz w:val="24"/>
          <w:szCs w:val="24"/>
          <w:lang w:eastAsia="zh-Hans"/>
        </w:rPr>
        <w:t>一）</w:t>
      </w: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lang w:eastAsia="zh-Hans"/>
        </w:rPr>
        <w:t>资质分值（总分</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lang w:eastAsia="zh-Hans"/>
        </w:rPr>
        <w:t>分）</w:t>
      </w:r>
    </w:p>
    <w:p w14:paraId="0CD2D0E9">
      <w:pPr>
        <w:framePr w:wrap="auto" w:vAnchor="margin" w:hAnchor="text" w:yAlign="inline"/>
        <w:spacing w:line="360" w:lineRule="auto"/>
        <w:ind w:firstLine="480" w:firstLineChars="20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1.</w:t>
      </w:r>
      <w:r>
        <w:rPr>
          <w:rFonts w:asciiTheme="minorEastAsia" w:hAnsiTheme="minorEastAsia" w:eastAsiaTheme="minorEastAsia" w:cstheme="minorEastAsia"/>
          <w:sz w:val="24"/>
          <w:szCs w:val="24"/>
          <w:lang w:eastAsia="zh-Hans"/>
        </w:rPr>
        <w:t>合作方</w:t>
      </w:r>
      <w:r>
        <w:rPr>
          <w:rFonts w:hint="eastAsia" w:asciiTheme="minorEastAsia" w:hAnsiTheme="minorEastAsia" w:eastAsiaTheme="minorEastAsia" w:cstheme="minorEastAsia"/>
          <w:sz w:val="24"/>
          <w:szCs w:val="24"/>
          <w:lang w:val="en-US" w:eastAsia="zh-CN"/>
        </w:rPr>
        <w:t>以</w:t>
      </w:r>
      <w:r>
        <w:rPr>
          <w:rFonts w:asciiTheme="minorEastAsia" w:hAnsiTheme="minorEastAsia" w:eastAsiaTheme="minorEastAsia" w:cstheme="minorEastAsia"/>
          <w:sz w:val="24"/>
          <w:szCs w:val="24"/>
          <w:lang w:eastAsia="zh-Hans"/>
        </w:rPr>
        <w:t>公司总部</w:t>
      </w:r>
      <w:r>
        <w:rPr>
          <w:rFonts w:hint="eastAsia" w:asciiTheme="minorEastAsia" w:hAnsiTheme="minorEastAsia" w:eastAsiaTheme="minorEastAsia" w:cstheme="minorEastAsia"/>
          <w:sz w:val="24"/>
          <w:szCs w:val="24"/>
          <w:lang w:val="en-US" w:eastAsia="zh-CN"/>
        </w:rPr>
        <w:t>或省级分公司</w:t>
      </w:r>
      <w:r>
        <w:rPr>
          <w:rFonts w:asciiTheme="minorEastAsia" w:hAnsiTheme="minorEastAsia" w:eastAsiaTheme="minorEastAsia" w:cstheme="minorEastAsia"/>
          <w:sz w:val="24"/>
          <w:szCs w:val="24"/>
          <w:lang w:eastAsia="zh-Hans"/>
        </w:rPr>
        <w:t>与学校签约，</w:t>
      </w:r>
      <w:r>
        <w:rPr>
          <w:rFonts w:hint="eastAsia" w:asciiTheme="minorEastAsia" w:hAnsiTheme="minorEastAsia" w:eastAsiaTheme="minorEastAsia" w:cstheme="minorEastAsia"/>
          <w:sz w:val="24"/>
          <w:szCs w:val="24"/>
          <w:lang w:val="en-US" w:eastAsia="zh-CN"/>
        </w:rPr>
        <w:t>连续5年入选中国连锁20强</w:t>
      </w:r>
      <w:r>
        <w:rPr>
          <w:rFonts w:hint="eastAsia" w:asciiTheme="minorEastAsia" w:hAnsiTheme="minorEastAsia" w:eastAsiaTheme="minorEastAsia" w:cstheme="minorEastAsia"/>
          <w:sz w:val="24"/>
          <w:szCs w:val="24"/>
          <w:lang w:eastAsia="zh-Hans"/>
        </w:rPr>
        <w:t xml:space="preserve"> （</w:t>
      </w:r>
      <w:r>
        <w:rPr>
          <w:rFonts w:hint="eastAsia" w:asciiTheme="minorEastAsia" w:hAnsiTheme="minorEastAsia" w:eastAsiaTheme="minorEastAsia" w:cstheme="minorEastAsia"/>
          <w:sz w:val="24"/>
          <w:szCs w:val="24"/>
          <w:lang w:val="en-US" w:eastAsia="zh-CN"/>
        </w:rPr>
        <w:t>5</w:t>
      </w:r>
      <w:r>
        <w:rPr>
          <w:rFonts w:asciiTheme="minorEastAsia" w:hAnsiTheme="minorEastAsia" w:eastAsiaTheme="minorEastAsia" w:cstheme="minorEastAsia"/>
          <w:sz w:val="24"/>
          <w:szCs w:val="24"/>
          <w:lang w:eastAsia="zh-Hans"/>
        </w:rPr>
        <w:t>分）</w:t>
      </w:r>
    </w:p>
    <w:p w14:paraId="6F1E47A3">
      <w:pPr>
        <w:framePr w:wrap="auto" w:vAnchor="margin" w:hAnchor="text" w:yAlign="inline"/>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2.合作方为上市企业或中国500强企业（5分）；</w:t>
      </w:r>
    </w:p>
    <w:p w14:paraId="32ED11E8">
      <w:pPr>
        <w:framePr w:wrap="auto" w:vAnchor="margin" w:hAnchor="text" w:yAlign="inline"/>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3.入选省（直辖市）100强企业（5分）；</w:t>
      </w:r>
    </w:p>
    <w:p w14:paraId="3C4F0106">
      <w:pPr>
        <w:framePr w:wrap="auto" w:vAnchor="margin" w:hAnchor="text" w:yAlign="inline"/>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4.合作方企业数字化、智慧化程度高，获得过行业数字化创新发展相关奖项或典型案例，具有行业引领性（5分）</w:t>
      </w:r>
    </w:p>
    <w:p w14:paraId="024BAB7F">
      <w:pPr>
        <w:framePr w:wrap="auto" w:vAnchor="margin" w:hAnchor="text" w:yAlign="inline"/>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（二）产教融合资质分值（20分）</w:t>
      </w:r>
    </w:p>
    <w:p w14:paraId="54AC453E">
      <w:pPr>
        <w:framePr w:wrap="auto" w:vAnchor="margin" w:hAnchor="text" w:yAlign="inline"/>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1.合作方为省级及以上产教融合型企业（10分，省级产教融合型企业得5分，国家级产教融合型企业得10分）；</w:t>
      </w:r>
    </w:p>
    <w:p w14:paraId="046690C6">
      <w:pPr>
        <w:framePr w:wrap="auto" w:vAnchor="margin" w:hAnchor="text" w:yAlign="inline"/>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2.合作方与高职院校产教融合校企合作取得的业绩（10分，取得省部级及以上合作业绩2分/项，加满为止）；</w:t>
      </w:r>
    </w:p>
    <w:p w14:paraId="06E3D214">
      <w:pPr>
        <w:framePr w:wrap="auto" w:vAnchor="margin" w:hAnchor="text" w:yAlign="inline"/>
        <w:spacing w:line="360"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合作方累计</w:t>
      </w:r>
      <w:r>
        <w:rPr>
          <w:rFonts w:asciiTheme="minorEastAsia" w:hAnsiTheme="minorEastAsia" w:eastAsiaTheme="minorEastAsia" w:cstheme="minorEastAsia"/>
          <w:sz w:val="24"/>
          <w:szCs w:val="24"/>
          <w:lang w:eastAsia="zh-Hans"/>
        </w:rPr>
        <w:t>投入</w:t>
      </w:r>
      <w:r>
        <w:rPr>
          <w:rFonts w:hint="eastAsia" w:asciiTheme="minorEastAsia" w:hAnsiTheme="minorEastAsia" w:eastAsiaTheme="minorEastAsia" w:cstheme="minorEastAsia"/>
          <w:sz w:val="24"/>
          <w:szCs w:val="24"/>
          <w:lang w:val="en-US" w:eastAsia="zh-CN"/>
        </w:rPr>
        <w:t>175万分值</w:t>
      </w:r>
      <w:r>
        <w:rPr>
          <w:rFonts w:asciiTheme="minorEastAsia" w:hAnsiTheme="minorEastAsia" w:eastAsiaTheme="minorEastAsia" w:cstheme="minorEastAsia"/>
          <w:sz w:val="24"/>
          <w:szCs w:val="24"/>
          <w:lang w:eastAsia="zh-Hans"/>
        </w:rPr>
        <w:t>（20分）</w:t>
      </w:r>
    </w:p>
    <w:p w14:paraId="3F199FC1">
      <w:pPr>
        <w:framePr w:wrap="auto" w:vAnchor="margin" w:hAnchor="text" w:yAlign="inline"/>
        <w:spacing w:line="360" w:lineRule="auto"/>
        <w:ind w:firstLine="48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1.只投入非货币资产（10分）</w:t>
      </w:r>
    </w:p>
    <w:p w14:paraId="3061926A">
      <w:pPr>
        <w:framePr w:wrap="auto" w:vAnchor="margin" w:hAnchor="text" w:yAlign="inline"/>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2.只投入货币资产（15分）</w:t>
      </w:r>
    </w:p>
    <w:p w14:paraId="393AD3DC">
      <w:pPr>
        <w:framePr w:wrap="auto" w:vAnchor="margin" w:hAnchor="text" w:yAlign="inline"/>
        <w:spacing w:line="360" w:lineRule="auto"/>
        <w:ind w:firstLine="48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3.投入非货币资产和货币资产，且承诺按照不少于20万/年的投入产教融合专项资金（20分）</w:t>
      </w:r>
    </w:p>
    <w:p w14:paraId="59A2EFCA">
      <w:pPr>
        <w:framePr w:wrap="auto" w:vAnchor="margin" w:hAnchor="text" w:yAlign="inline"/>
        <w:spacing w:line="360" w:lineRule="auto"/>
        <w:rPr>
          <w:rFonts w:asciiTheme="minorEastAsia" w:hAnsiTheme="minorEastAsia" w:eastAsiaTheme="minorEastAsia" w:cstheme="minorEastAsia"/>
          <w:sz w:val="24"/>
          <w:szCs w:val="24"/>
          <w:lang w:eastAsia="zh-Hans"/>
        </w:rPr>
      </w:pPr>
      <w:r>
        <w:rPr>
          <w:rFonts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四</w:t>
      </w:r>
      <w:r>
        <w:rPr>
          <w:rFonts w:asciiTheme="minorEastAsia" w:hAnsiTheme="minorEastAsia" w:eastAsiaTheme="minorEastAsia" w:cstheme="minorEastAsia"/>
          <w:sz w:val="24"/>
          <w:szCs w:val="24"/>
          <w:lang w:eastAsia="zh-Hans"/>
        </w:rPr>
        <w:t>）合作方投入资产处置（总分</w:t>
      </w:r>
      <w:r>
        <w:rPr>
          <w:rFonts w:hint="eastAsia" w:asciiTheme="minorEastAsia" w:hAnsiTheme="minorEastAsia" w:eastAsiaTheme="minorEastAsia" w:cstheme="minorEastAsia"/>
          <w:sz w:val="24"/>
          <w:szCs w:val="24"/>
          <w:lang w:eastAsia="zh-Hans"/>
        </w:rPr>
        <w:t>1</w:t>
      </w:r>
      <w:r>
        <w:rPr>
          <w:rFonts w:asciiTheme="minorEastAsia" w:hAnsiTheme="minorEastAsia" w:eastAsiaTheme="minorEastAsia" w:cstheme="minorEastAsia"/>
          <w:sz w:val="24"/>
          <w:szCs w:val="24"/>
          <w:lang w:eastAsia="zh-Hans"/>
        </w:rPr>
        <w:t>0分）</w:t>
      </w:r>
    </w:p>
    <w:p w14:paraId="10479283">
      <w:pPr>
        <w:framePr w:wrap="auto" w:vAnchor="margin" w:hAnchor="text" w:yAlign="inline"/>
        <w:spacing w:line="360" w:lineRule="auto"/>
        <w:ind w:firstLine="480" w:firstLineChars="200"/>
        <w:rPr>
          <w:rFonts w:asciiTheme="minorEastAsia" w:hAnsiTheme="minorEastAsia" w:eastAsiaTheme="minorEastAsia" w:cstheme="minorEastAsia"/>
          <w:sz w:val="24"/>
          <w:szCs w:val="24"/>
          <w:lang w:eastAsia="zh-Hans"/>
        </w:rPr>
      </w:pPr>
      <w:r>
        <w:rPr>
          <w:rFonts w:asciiTheme="minorEastAsia" w:hAnsiTheme="minorEastAsia" w:eastAsiaTheme="minorEastAsia" w:cstheme="minorEastAsia"/>
          <w:sz w:val="24"/>
          <w:szCs w:val="24"/>
          <w:lang w:eastAsia="zh-Hans"/>
        </w:rPr>
        <w:t>合作方投入形成的资产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其中</w:t>
      </w:r>
      <w:r>
        <w:rPr>
          <w:rFonts w:hint="eastAsia" w:asciiTheme="minorEastAsia" w:hAnsiTheme="minorEastAsia" w:eastAsiaTheme="minorEastAsia" w:cstheme="minorEastAsia"/>
          <w:sz w:val="24"/>
          <w:szCs w:val="24"/>
          <w:lang w:eastAsia="zh-Hans"/>
        </w:rPr>
        <w:t>经营类硬软件设备由</w:t>
      </w: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lang w:eastAsia="zh-Hans"/>
        </w:rPr>
        <w:t>方回收处理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教学区</w:t>
      </w:r>
      <w:r>
        <w:rPr>
          <w:rFonts w:asciiTheme="minorEastAsia" w:hAnsiTheme="minorEastAsia" w:eastAsiaTheme="minorEastAsia" w:cstheme="minorEastAsia"/>
          <w:sz w:val="24"/>
          <w:szCs w:val="24"/>
          <w:lang w:eastAsia="zh-Hans"/>
        </w:rPr>
        <w:t>（含装修）</w:t>
      </w:r>
      <w:r>
        <w:rPr>
          <w:rFonts w:hint="eastAsia" w:asciiTheme="minorEastAsia" w:hAnsiTheme="minorEastAsia" w:eastAsiaTheme="minorEastAsia" w:cstheme="minorEastAsia"/>
          <w:sz w:val="24"/>
          <w:szCs w:val="24"/>
          <w:lang w:eastAsia="zh-Hans"/>
        </w:rPr>
        <w:t>设备设施归</w:t>
      </w:r>
      <w:r>
        <w:rPr>
          <w:rFonts w:hint="eastAsia" w:asciiTheme="minorEastAsia" w:hAnsiTheme="minorEastAsia" w:eastAsiaTheme="minorEastAsia" w:cstheme="minorEastAsia"/>
          <w:sz w:val="24"/>
          <w:szCs w:val="24"/>
          <w:lang w:val="en-US" w:eastAsia="zh-CN"/>
        </w:rPr>
        <w:t>校</w:t>
      </w:r>
      <w:r>
        <w:rPr>
          <w:rFonts w:hint="eastAsia" w:asciiTheme="minorEastAsia" w:hAnsiTheme="minorEastAsia" w:eastAsiaTheme="minorEastAsia" w:cstheme="minorEastAsia"/>
          <w:sz w:val="24"/>
          <w:szCs w:val="24"/>
          <w:lang w:eastAsia="zh-Hans"/>
        </w:rPr>
        <w:t>方所有</w:t>
      </w:r>
      <w:r>
        <w:rPr>
          <w:rFonts w:hint="eastAsia" w:asciiTheme="minorEastAsia" w:hAnsiTheme="minorEastAsia" w:eastAsiaTheme="minorEastAsia" w:cstheme="minorEastAsia"/>
          <w:sz w:val="24"/>
          <w:szCs w:val="24"/>
          <w:lang w:eastAsia="zh-CN"/>
        </w:rPr>
        <w:t>，</w:t>
      </w:r>
      <w:r>
        <w:rPr>
          <w:rFonts w:asciiTheme="minorEastAsia" w:hAnsiTheme="minorEastAsia" w:eastAsiaTheme="minorEastAsia" w:cstheme="minorEastAsia"/>
          <w:sz w:val="24"/>
          <w:szCs w:val="24"/>
          <w:lang w:eastAsia="zh-Hans"/>
        </w:rPr>
        <w:t>入校方固定资产。</w:t>
      </w:r>
    </w:p>
    <w:p w14:paraId="0F0CE9C8">
      <w:pPr>
        <w:framePr w:wrap="auto" w:vAnchor="margin" w:hAnchor="text" w:yAlign="inline"/>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产业学院建设</w:t>
      </w:r>
      <w:r>
        <w:rPr>
          <w:rFonts w:hint="eastAsia" w:asciiTheme="minorEastAsia" w:hAnsiTheme="minorEastAsia" w:eastAsiaTheme="minorEastAsia" w:cstheme="minorEastAsia"/>
          <w:sz w:val="24"/>
          <w:szCs w:val="24"/>
          <w:lang w:eastAsia="zh-Hans"/>
        </w:rPr>
        <w:t>方案（总分</w:t>
      </w:r>
      <w:r>
        <w:rPr>
          <w:rFonts w:hint="eastAsia" w:asciiTheme="minorEastAsia" w:hAnsiTheme="minorEastAsia" w:eastAsiaTheme="minorEastAsia" w:cstheme="minorEastAsia"/>
          <w:sz w:val="24"/>
          <w:szCs w:val="24"/>
          <w:lang w:val="en-US" w:eastAsia="zh-CN"/>
        </w:rPr>
        <w:t>2</w:t>
      </w:r>
      <w:r>
        <w:rPr>
          <w:rFonts w:asciiTheme="minorEastAsia" w:hAnsiTheme="minorEastAsia" w:eastAsiaTheme="minorEastAsia" w:cstheme="minorEastAsia"/>
          <w:sz w:val="24"/>
          <w:szCs w:val="24"/>
          <w:lang w:eastAsia="zh-Hans"/>
        </w:rPr>
        <w:t>0分</w:t>
      </w:r>
      <w:r>
        <w:rPr>
          <w:rFonts w:hint="eastAsia" w:asciiTheme="minorEastAsia" w:hAnsiTheme="minorEastAsia" w:eastAsiaTheme="minorEastAsia" w:cstheme="minorEastAsia"/>
          <w:sz w:val="24"/>
          <w:szCs w:val="24"/>
          <w:lang w:eastAsia="zh-CN"/>
        </w:rPr>
        <w:t>）</w:t>
      </w:r>
    </w:p>
    <w:p w14:paraId="19F9DA15">
      <w:pPr>
        <w:framePr w:wrap="auto" w:vAnchor="margin" w:hAnchor="text" w:yAlign="inline"/>
        <w:numPr>
          <w:ilvl w:val="0"/>
          <w:numId w:val="0"/>
        </w:numPr>
        <w:spacing w:line="360" w:lineRule="auto"/>
        <w:ind w:leftChars="0" w:firstLine="480" w:firstLineChars="200"/>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sz w:val="24"/>
          <w:szCs w:val="24"/>
          <w:lang w:val="en-US" w:eastAsia="zh-CN"/>
        </w:rPr>
        <w:t>包括包括产业学院合作内容、共建运行方案、合作预期成效和成果</w:t>
      </w:r>
      <w:r>
        <w:rPr>
          <w:rFonts w:hint="eastAsia" w:asciiTheme="minorEastAsia" w:hAnsiTheme="minorEastAsia" w:eastAsiaTheme="minorEastAsia" w:cstheme="minorEastAsia"/>
          <w:sz w:val="24"/>
          <w:szCs w:val="24"/>
          <w:lang w:eastAsia="zh-Hans"/>
        </w:rPr>
        <w:t>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相关成效和成果做到可量化，简明扼要，并根据现场汇报和答辩评分。</w:t>
      </w:r>
      <w:r>
        <w:rPr>
          <w:rFonts w:hint="eastAsia" w:asciiTheme="minorEastAsia" w:hAnsiTheme="minorEastAsia" w:eastAsiaTheme="minorEastAsia" w:cstheme="minorEastAsia"/>
          <w:b w:val="0"/>
          <w:bCs w:val="0"/>
          <w:sz w:val="24"/>
          <w:szCs w:val="24"/>
          <w:lang w:val="en-US" w:eastAsia="zh-CN"/>
        </w:rPr>
        <w:t>建设方案需全部响应《重庆城市管理职业学院智慧零售产业学院合作企业邀请公告》中“合作内容及数量指标”要求。</w:t>
      </w:r>
    </w:p>
    <w:p w14:paraId="1CA0BA2B">
      <w:pPr>
        <w:framePr w:wrap="auto" w:vAnchor="margin" w:hAnchor="text" w:yAlign="inline"/>
        <w:spacing w:line="360"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六</w:t>
      </w:r>
      <w:r>
        <w:rPr>
          <w:rFonts w:asciiTheme="minorEastAsia" w:hAnsiTheme="minorEastAsia" w:eastAsiaTheme="minorEastAsia" w:cstheme="minorEastAsia"/>
          <w:sz w:val="24"/>
          <w:szCs w:val="24"/>
          <w:lang w:eastAsia="zh-Hans"/>
        </w:rPr>
        <w:t>）安全保障承诺（总分</w:t>
      </w:r>
      <w:r>
        <w:rPr>
          <w:rFonts w:hint="eastAsia" w:asciiTheme="minorEastAsia" w:hAnsiTheme="minorEastAsia" w:eastAsiaTheme="minorEastAsia" w:cstheme="minorEastAsia"/>
          <w:sz w:val="24"/>
          <w:szCs w:val="24"/>
          <w:lang w:val="en-US" w:eastAsia="zh-CN"/>
        </w:rPr>
        <w:t>10</w:t>
      </w:r>
      <w:r>
        <w:rPr>
          <w:rFonts w:asciiTheme="minorEastAsia" w:hAnsiTheme="minorEastAsia" w:eastAsiaTheme="minorEastAsia" w:cstheme="minorEastAsia"/>
          <w:sz w:val="24"/>
          <w:szCs w:val="24"/>
          <w:lang w:eastAsia="zh-Hans"/>
        </w:rPr>
        <w:t>分）</w:t>
      </w:r>
    </w:p>
    <w:p w14:paraId="2356FDB3">
      <w:pPr>
        <w:framePr w:wrap="auto" w:vAnchor="margin" w:hAnchor="text" w:yAlign="inline"/>
        <w:spacing w:line="360" w:lineRule="auto"/>
        <w:ind w:firstLine="480" w:firstLineChars="200"/>
        <w:rPr>
          <w:rFonts w:asciiTheme="minorEastAsia" w:hAnsiTheme="minorEastAsia" w:eastAsiaTheme="minorEastAsia" w:cstheme="minorEastAsia"/>
          <w:sz w:val="24"/>
          <w:szCs w:val="24"/>
          <w:lang w:eastAsia="zh-Hans"/>
        </w:rPr>
      </w:pPr>
      <w:r>
        <w:rPr>
          <w:rFonts w:asciiTheme="minorEastAsia" w:hAnsiTheme="minorEastAsia" w:eastAsiaTheme="minorEastAsia" w:cstheme="minorEastAsia"/>
          <w:sz w:val="24"/>
          <w:szCs w:val="24"/>
          <w:lang w:eastAsia="zh-Hans"/>
        </w:rPr>
        <w:t>合作方作出安全保障承诺</w:t>
      </w:r>
      <w:r>
        <w:rPr>
          <w:rFonts w:hint="eastAsia" w:asciiTheme="minorEastAsia" w:hAnsiTheme="minorEastAsia" w:eastAsiaTheme="minorEastAsia" w:cstheme="minorEastAsia"/>
          <w:sz w:val="24"/>
          <w:szCs w:val="24"/>
          <w:lang w:eastAsia="zh-Hans"/>
        </w:rPr>
        <w:t>对</w:t>
      </w:r>
      <w:r>
        <w:rPr>
          <w:rFonts w:hint="eastAsia" w:asciiTheme="minorEastAsia" w:hAnsiTheme="minorEastAsia" w:eastAsiaTheme="minorEastAsia" w:cstheme="minorEastAsia"/>
          <w:sz w:val="24"/>
          <w:szCs w:val="24"/>
          <w:lang w:val="en-US" w:eastAsia="zh-CN"/>
        </w:rPr>
        <w:t>产业学院</w:t>
      </w:r>
      <w:r>
        <w:rPr>
          <w:rFonts w:hint="eastAsia" w:asciiTheme="minorEastAsia" w:hAnsiTheme="minorEastAsia" w:eastAsiaTheme="minorEastAsia" w:cstheme="minorEastAsia"/>
          <w:sz w:val="24"/>
          <w:szCs w:val="24"/>
          <w:lang w:eastAsia="zh-Hans"/>
        </w:rPr>
        <w:t>的设施设备使用、顾客</w:t>
      </w:r>
      <w:r>
        <w:rPr>
          <w:rFonts w:hint="eastAsia" w:asciiTheme="minorEastAsia" w:hAnsiTheme="minorEastAsia" w:eastAsiaTheme="minorEastAsia" w:cstheme="minorEastAsia"/>
          <w:sz w:val="24"/>
          <w:szCs w:val="24"/>
          <w:lang w:val="en-US" w:eastAsia="zh-CN"/>
        </w:rPr>
        <w:t>购物</w:t>
      </w:r>
      <w:r>
        <w:rPr>
          <w:rFonts w:hint="eastAsia" w:asciiTheme="minorEastAsia" w:hAnsiTheme="minorEastAsia" w:eastAsiaTheme="minorEastAsia" w:cstheme="minorEastAsia"/>
          <w:sz w:val="24"/>
          <w:szCs w:val="24"/>
          <w:lang w:eastAsia="zh-Hans"/>
        </w:rPr>
        <w:t>和员工的安全</w:t>
      </w:r>
      <w:r>
        <w:rPr>
          <w:rFonts w:hint="eastAsia" w:asciiTheme="minorEastAsia" w:hAnsiTheme="minorEastAsia" w:eastAsiaTheme="minorEastAsia" w:cstheme="minorEastAsia"/>
          <w:sz w:val="24"/>
          <w:szCs w:val="24"/>
          <w:lang w:val="en-US" w:eastAsia="zh-CN"/>
        </w:rPr>
        <w:t>和在生产运营区发生的</w:t>
      </w:r>
      <w:r>
        <w:rPr>
          <w:rFonts w:hint="eastAsia" w:asciiTheme="minorEastAsia" w:hAnsiTheme="minorEastAsia" w:eastAsiaTheme="minorEastAsia" w:cstheme="minorEastAsia"/>
          <w:sz w:val="24"/>
          <w:szCs w:val="24"/>
          <w:lang w:eastAsia="zh-Hans"/>
        </w:rPr>
        <w:t>意外事故等承担全部责任</w:t>
      </w:r>
      <w:r>
        <w:rPr>
          <w:rFonts w:asciiTheme="minorEastAsia" w:hAnsiTheme="minorEastAsia" w:eastAsiaTheme="minorEastAsia" w:cstheme="minorEastAsia"/>
          <w:sz w:val="24"/>
          <w:szCs w:val="24"/>
          <w:lang w:eastAsia="zh-Hans"/>
        </w:rPr>
        <w:t>。</w:t>
      </w:r>
    </w:p>
    <w:p w14:paraId="4BC094A0">
      <w:pPr>
        <w:framePr w:wrap="auto" w:vAnchor="margin" w:hAnchor="text" w:yAlign="inline"/>
        <w:spacing w:line="360" w:lineRule="auto"/>
        <w:rPr>
          <w:rFonts w:asciiTheme="minorEastAsia" w:hAnsiTheme="minorEastAsia" w:eastAsiaTheme="minorEastAsia" w:cstheme="minorEastAsia"/>
          <w:sz w:val="18"/>
          <w:szCs w:val="18"/>
          <w:lang w:eastAsia="zh-Hans"/>
        </w:rPr>
      </w:pPr>
      <w:bookmarkStart w:id="0" w:name="_GoBack"/>
      <w:bookmarkEnd w:id="0"/>
    </w:p>
    <w:p w14:paraId="1DA52BFE">
      <w:pPr>
        <w:framePr w:wrap="auto" w:vAnchor="margin" w:hAnchor="text" w:yAlign="inline"/>
        <w:spacing w:line="360" w:lineRule="auto"/>
        <w:rPr>
          <w:rFonts w:asciiTheme="minorEastAsia" w:hAnsiTheme="minorEastAsia" w:eastAsiaTheme="minorEastAsia" w:cstheme="minorEastAsia"/>
          <w:sz w:val="18"/>
          <w:szCs w:val="18"/>
          <w:lang w:eastAsia="zh-Hans"/>
        </w:rPr>
      </w:pPr>
    </w:p>
    <w:sectPr>
      <w:headerReference r:id="rId4" w:type="first"/>
      <w:footerReference r:id="rId6" w:type="first"/>
      <w:headerReference r:id="rId3" w:type="default"/>
      <w:footerReference r:id="rId5" w:type="default"/>
      <w:pgSz w:w="11900" w:h="16840"/>
      <w:pgMar w:top="1440" w:right="1983" w:bottom="1440" w:left="1800"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Times New Roman"/>
    <w:panose1 w:val="00000000000000000000"/>
    <w:charset w:val="00"/>
    <w:family w:val="auto"/>
    <w:pitch w:val="default"/>
    <w:sig w:usb0="00000000" w:usb1="00000000" w:usb2="0000001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Songti SC Bold">
    <w:altName w:val="宋体"/>
    <w:panose1 w:val="00000000000000000000"/>
    <w:charset w:val="86"/>
    <w:family w:val="auto"/>
    <w:pitch w:val="default"/>
    <w:sig w:usb0="00000000" w:usb1="00000000" w:usb2="00000000" w:usb3="00000000" w:csb0="00160000" w:csb1="00000000"/>
  </w:font>
  <w:font w:name="Songti SC Regular">
    <w:altName w:val="宋体"/>
    <w:panose1 w:val="00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51970">
    <w:pPr>
      <w:pStyle w:val="3"/>
      <w:framePr w:wrap="auto" w:vAnchor="margin" w:hAnchor="text" w:yAlign="inline"/>
      <w:tabs>
        <w:tab w:val="right" w:pos="8097"/>
        <w:tab w:val="clear" w:pos="8306"/>
      </w:tabs>
      <w:jc w:val="center"/>
    </w:pPr>
  </w:p>
  <w:p w14:paraId="4BD271D2">
    <w:pPr>
      <w:pStyle w:val="3"/>
      <w:framePr w:wrap="auto" w:vAnchor="margin" w:hAnchor="text" w:yAlign="inline"/>
      <w:tabs>
        <w:tab w:val="right" w:pos="8097"/>
        <w:tab w:val="clear" w:pos="8306"/>
      </w:tabs>
      <w:jc w:val="cente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DE491">
    <w:pPr>
      <w:pStyle w:val="3"/>
      <w:framePr w:wrap="auto" w:vAnchor="margin" w:hAnchor="text" w:yAlign="inline"/>
      <w:tabs>
        <w:tab w:val="right" w:pos="8097"/>
        <w:tab w:val="clear" w:pos="8306"/>
      </w:tabs>
      <w:jc w:val="center"/>
    </w:pPr>
    <w:r>
      <w:fldChar w:fldCharType="begin"/>
    </w:r>
    <w:r>
      <w:instrText xml:space="preserve"> PAGE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60B8">
    <w:pPr>
      <w:pStyle w:val="9"/>
      <w:framePr w:wrap="auto" w:vAnchor="margin" w:hAnchor="text" w:yAlign="inlin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F925">
    <w:pPr>
      <w:pStyle w:val="4"/>
      <w:framePr w:wrap="auto" w:vAnchor="margin" w:hAnchor="text" w:yAlign="inline"/>
      <w:pBdr>
        <w:bottom w:val="none" w:color="auto" w:sz="0" w:space="0"/>
      </w:pBdr>
      <w:tabs>
        <w:tab w:val="right" w:pos="8097"/>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E7E6E"/>
    <w:multiLevelType w:val="singleLevel"/>
    <w:tmpl w:val="EEFE7E6E"/>
    <w:lvl w:ilvl="0" w:tentative="0">
      <w:start w:val="1"/>
      <w:numFmt w:val="chineseCounting"/>
      <w:suff w:val="nothing"/>
      <w:lvlText w:val="（%1）"/>
      <w:lvlJc w:val="left"/>
      <w:rPr>
        <w:rFonts w:hint="eastAsia"/>
        <w:lang w:val="en-US"/>
      </w:rPr>
    </w:lvl>
  </w:abstractNum>
  <w:abstractNum w:abstractNumId="1">
    <w:nsid w:val="FAFE38EE"/>
    <w:multiLevelType w:val="singleLevel"/>
    <w:tmpl w:val="FAFE38EE"/>
    <w:lvl w:ilvl="0" w:tentative="0">
      <w:start w:val="1"/>
      <w:numFmt w:val="chineseCounting"/>
      <w:suff w:val="nothing"/>
      <w:lvlText w:val="%1、"/>
      <w:lvlJc w:val="left"/>
      <w:rPr>
        <w:rFonts w:hint="eastAsia"/>
      </w:rPr>
    </w:lvl>
  </w:abstractNum>
  <w:abstractNum w:abstractNumId="2">
    <w:nsid w:val="FF1FA8C0"/>
    <w:multiLevelType w:val="singleLevel"/>
    <w:tmpl w:val="FF1FA8C0"/>
    <w:lvl w:ilvl="0" w:tentative="0">
      <w:start w:val="1"/>
      <w:numFmt w:val="chineseCounting"/>
      <w:suff w:val="nothing"/>
      <w:lvlText w:val="（%1）"/>
      <w:lvlJc w:val="left"/>
      <w:rPr>
        <w:rFonts w:hint="eastAsia"/>
      </w:rPr>
    </w:lvl>
  </w:abstractNum>
  <w:abstractNum w:abstractNumId="3">
    <w:nsid w:val="7F3B6495"/>
    <w:multiLevelType w:val="singleLevel"/>
    <w:tmpl w:val="7F3B6495"/>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noLineBreaksAfter w:lang="zh-CN" w:val="‘“(〔[{〈《「『【⦅〘〖«〝︵︷︹︻︽︿﹁﹃﹇﹙﹛﹝｢"/>
  <w:noLineBreaksBefore w:lang="zh-CN"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yM2Q1NjhlMzgzOThkODE2MzgzMzlkOWEwNWQ0YjMifQ=="/>
  </w:docVars>
  <w:rsids>
    <w:rsidRoot w:val="00681BCF"/>
    <w:rsid w:val="000B1AF5"/>
    <w:rsid w:val="001C5F4D"/>
    <w:rsid w:val="001D1768"/>
    <w:rsid w:val="0028614E"/>
    <w:rsid w:val="003E0400"/>
    <w:rsid w:val="004B088E"/>
    <w:rsid w:val="00681BCF"/>
    <w:rsid w:val="007179AD"/>
    <w:rsid w:val="008677B8"/>
    <w:rsid w:val="00871055"/>
    <w:rsid w:val="008F61DE"/>
    <w:rsid w:val="00942F6D"/>
    <w:rsid w:val="009D21F5"/>
    <w:rsid w:val="00A752C7"/>
    <w:rsid w:val="00AA6221"/>
    <w:rsid w:val="00AF7976"/>
    <w:rsid w:val="00B53705"/>
    <w:rsid w:val="00BF07FF"/>
    <w:rsid w:val="00C0712A"/>
    <w:rsid w:val="00C64DFA"/>
    <w:rsid w:val="00C65CB8"/>
    <w:rsid w:val="00CE0F2D"/>
    <w:rsid w:val="00CE3025"/>
    <w:rsid w:val="00D343B9"/>
    <w:rsid w:val="00DC426F"/>
    <w:rsid w:val="00DF3E6A"/>
    <w:rsid w:val="00EB4D37"/>
    <w:rsid w:val="00F120C6"/>
    <w:rsid w:val="00F85EEA"/>
    <w:rsid w:val="03827BBD"/>
    <w:rsid w:val="07AB20F7"/>
    <w:rsid w:val="08315655"/>
    <w:rsid w:val="09CF6DB9"/>
    <w:rsid w:val="11CB71A6"/>
    <w:rsid w:val="153E7931"/>
    <w:rsid w:val="1A974E89"/>
    <w:rsid w:val="1ABE6E41"/>
    <w:rsid w:val="200546CE"/>
    <w:rsid w:val="21A1039B"/>
    <w:rsid w:val="26321F0A"/>
    <w:rsid w:val="29EE439A"/>
    <w:rsid w:val="363475D8"/>
    <w:rsid w:val="3D3103CE"/>
    <w:rsid w:val="3F3DEFF6"/>
    <w:rsid w:val="404C259C"/>
    <w:rsid w:val="40FED6EC"/>
    <w:rsid w:val="477FF619"/>
    <w:rsid w:val="49834A60"/>
    <w:rsid w:val="4CB72213"/>
    <w:rsid w:val="4FC86A66"/>
    <w:rsid w:val="52866379"/>
    <w:rsid w:val="554D5633"/>
    <w:rsid w:val="55D122F6"/>
    <w:rsid w:val="57EA58F1"/>
    <w:rsid w:val="58F68B60"/>
    <w:rsid w:val="59CF4D9E"/>
    <w:rsid w:val="5A845D9E"/>
    <w:rsid w:val="5B5B53A4"/>
    <w:rsid w:val="5E183F2C"/>
    <w:rsid w:val="5FD3AE45"/>
    <w:rsid w:val="65204B23"/>
    <w:rsid w:val="67460E6B"/>
    <w:rsid w:val="67A96DFD"/>
    <w:rsid w:val="67FF2B94"/>
    <w:rsid w:val="6B044C40"/>
    <w:rsid w:val="6EC45420"/>
    <w:rsid w:val="71FF00A9"/>
    <w:rsid w:val="7288AC56"/>
    <w:rsid w:val="729674BC"/>
    <w:rsid w:val="748668F8"/>
    <w:rsid w:val="767945B8"/>
    <w:rsid w:val="76A1CF8E"/>
    <w:rsid w:val="77AF65B4"/>
    <w:rsid w:val="77FE29F7"/>
    <w:rsid w:val="7FBB01BA"/>
    <w:rsid w:val="7FF71908"/>
    <w:rsid w:val="7FFB7803"/>
    <w:rsid w:val="9EF9D30B"/>
    <w:rsid w:val="A77F78D4"/>
    <w:rsid w:val="AD63C1A2"/>
    <w:rsid w:val="AFF7CFF8"/>
    <w:rsid w:val="CFA99BB6"/>
    <w:rsid w:val="DFD51164"/>
    <w:rsid w:val="FDFB337A"/>
    <w:rsid w:val="FFFF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pPr>
      <w:framePr w:wrap="around"/>
    </w:pPr>
    <w:rPr>
      <w:sz w:val="18"/>
      <w:szCs w:val="18"/>
    </w:rPr>
  </w:style>
  <w:style w:type="paragraph" w:styleId="3">
    <w:name w:val="footer"/>
    <w:autoRedefine/>
    <w:qFormat/>
    <w:uiPriority w:val="0"/>
    <w:pPr>
      <w:framePr w:wrap="around" w:vAnchor="margin" w:hAnchor="text" w:y="1"/>
      <w:widowControl w:val="0"/>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styleId="4">
    <w:name w:val="header"/>
    <w:autoRedefine/>
    <w:qFormat/>
    <w:uiPriority w:val="0"/>
    <w:pPr>
      <w:framePr w:wrap="around" w:vAnchor="margin" w:hAnchor="text" w:y="1"/>
      <w:widowControl w:val="0"/>
      <w:pBdr>
        <w:bottom w:val="single" w:color="000000" w:sz="6" w:space="0"/>
      </w:pBdr>
      <w:tabs>
        <w:tab w:val="center" w:pos="4153"/>
        <w:tab w:val="right" w:pos="8306"/>
      </w:tabs>
      <w:jc w:val="center"/>
    </w:pPr>
    <w:rPr>
      <w:rFonts w:ascii="Calibri" w:hAnsi="Calibri" w:eastAsia="Calibri" w:cs="Calibri"/>
      <w:color w:val="000000"/>
      <w:kern w:val="2"/>
      <w:sz w:val="18"/>
      <w:szCs w:val="18"/>
      <w:u w:color="000000"/>
      <w:lang w:val="en-US" w:eastAsia="zh-CN" w:bidi="ar-SA"/>
    </w:rPr>
  </w:style>
  <w:style w:type="character" w:styleId="7">
    <w:name w:val="Hyperlink"/>
    <w:autoRedefine/>
    <w:qFormat/>
    <w:uiPriority w:val="0"/>
    <w:rPr>
      <w:u w:val="single"/>
    </w:rPr>
  </w:style>
  <w:style w:type="table" w:customStyle="1" w:styleId="8">
    <w:name w:val="Table Normal"/>
    <w:autoRedefine/>
    <w:qFormat/>
    <w:uiPriority w:val="0"/>
    <w:tblPr>
      <w:tblCellMar>
        <w:top w:w="0" w:type="dxa"/>
        <w:left w:w="0" w:type="dxa"/>
        <w:bottom w:w="0" w:type="dxa"/>
        <w:right w:w="0" w:type="dxa"/>
      </w:tblCellMar>
    </w:tblPr>
  </w:style>
  <w:style w:type="paragraph" w:customStyle="1" w:styleId="9">
    <w:name w:val="页眉与页脚"/>
    <w:autoRedefine/>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0">
    <w:name w:val="批注框文本 字符"/>
    <w:basedOn w:val="6"/>
    <w:link w:val="2"/>
    <w:autoRedefine/>
    <w:qFormat/>
    <w:uiPriority w:val="0"/>
    <w:rPr>
      <w:rFonts w:ascii="Calibri" w:hAnsi="Calibri" w:eastAsia="Calibri" w:cs="Calibri"/>
      <w:color w:val="000000"/>
      <w:kern w:val="2"/>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1554</Words>
  <Characters>1597</Characters>
  <Lines>10</Lines>
  <Paragraphs>2</Paragraphs>
  <TotalTime>1</TotalTime>
  <ScaleCrop>false</ScaleCrop>
  <LinksUpToDate>false</LinksUpToDate>
  <CharactersWithSpaces>1598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2023-02-10T01:21:00Z</dcterms:created>
  <dc:creator>Data</dc:creator>
  <cp:lastModifiedBy>云中漫步</cp:lastModifiedBy>
  <cp:lastPrinted>2024-07-15T06:31:00Z</cp:lastPrinted>
  <dcterms:modified xsi:type="dcterms:W3CDTF">2024-07-19T01:16:55Z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F43E3D96CB354985BD9462F63D794F84_13</vt:lpwstr>
  </property>
</Properties>
</file>