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_GBK"/>
          <w:kern w:val="0"/>
          <w:sz w:val="36"/>
          <w:szCs w:val="36"/>
        </w:rPr>
      </w:pPr>
      <w:bookmarkStart w:id="2" w:name="_GoBack"/>
      <w:bookmarkEnd w:id="2"/>
    </w:p>
    <w:p>
      <w:pPr>
        <w:widowControl/>
        <w:jc w:val="center"/>
        <w:rPr>
          <w:rFonts w:eastAsia="方正小标宋_GBK"/>
          <w:kern w:val="0"/>
          <w:sz w:val="36"/>
          <w:szCs w:val="36"/>
        </w:rPr>
      </w:pPr>
      <w:r>
        <w:rPr>
          <w:rFonts w:hint="eastAsia" w:ascii="Times New Roman" w:hAnsi="Times New Roman" w:eastAsia="方正小标宋_GBK" w:cs="Times New Roman"/>
          <w:kern w:val="0"/>
          <w:sz w:val="36"/>
          <w:szCs w:val="36"/>
          <w:lang w:val="en-US" w:eastAsia="zh-CN"/>
        </w:rPr>
        <w:t>2023年高校党组织示范微党课宣</w:t>
      </w:r>
      <w:r>
        <w:rPr>
          <w:rFonts w:hint="eastAsia" w:ascii="Times New Roman" w:hAnsi="Times New Roman" w:eastAsia="方正小标宋_GBK" w:cs="Times New Roman"/>
          <w:kern w:val="0"/>
          <w:sz w:val="36"/>
          <w:szCs w:val="36"/>
        </w:rPr>
        <w:t>传片</w:t>
      </w:r>
      <w:r>
        <w:rPr>
          <w:rFonts w:hint="eastAsia" w:ascii="Times New Roman" w:hAnsi="Times New Roman" w:eastAsia="方正小标宋_GBK" w:cs="Times New Roman"/>
          <w:kern w:val="0"/>
          <w:sz w:val="36"/>
          <w:szCs w:val="36"/>
          <w:lang w:val="en-US" w:eastAsia="zh-CN"/>
        </w:rPr>
        <w:t>项目</w:t>
      </w:r>
      <w:r>
        <w:rPr>
          <w:rFonts w:eastAsia="方正小标宋_GBK"/>
          <w:kern w:val="0"/>
          <w:sz w:val="36"/>
          <w:szCs w:val="36"/>
        </w:rPr>
        <w:t>采购清单及预算（服务类）</w:t>
      </w:r>
    </w:p>
    <w:tbl>
      <w:tblPr>
        <w:tblStyle w:val="13"/>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7254"/>
        <w:gridCol w:w="846"/>
        <w:gridCol w:w="106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3" w:type="dxa"/>
            <w:noWrap w:val="0"/>
            <w:vAlign w:val="center"/>
          </w:tcPr>
          <w:p>
            <w:pPr>
              <w:widowControl/>
              <w:jc w:val="center"/>
              <w:rPr>
                <w:rFonts w:eastAsia="黑体"/>
                <w:kern w:val="0"/>
                <w:sz w:val="24"/>
              </w:rPr>
            </w:pPr>
            <w:r>
              <w:rPr>
                <w:rFonts w:eastAsia="黑体"/>
                <w:kern w:val="0"/>
                <w:sz w:val="24"/>
              </w:rPr>
              <w:t>序号</w:t>
            </w:r>
          </w:p>
        </w:tc>
        <w:tc>
          <w:tcPr>
            <w:tcW w:w="1969" w:type="dxa"/>
            <w:noWrap w:val="0"/>
            <w:vAlign w:val="center"/>
          </w:tcPr>
          <w:p>
            <w:pPr>
              <w:widowControl/>
              <w:jc w:val="center"/>
              <w:rPr>
                <w:rFonts w:eastAsia="黑体"/>
                <w:kern w:val="0"/>
                <w:sz w:val="24"/>
              </w:rPr>
            </w:pPr>
            <w:r>
              <w:rPr>
                <w:rFonts w:eastAsia="黑体"/>
                <w:kern w:val="0"/>
                <w:sz w:val="24"/>
              </w:rPr>
              <w:t>服务名目</w:t>
            </w:r>
          </w:p>
        </w:tc>
        <w:tc>
          <w:tcPr>
            <w:tcW w:w="7254" w:type="dxa"/>
            <w:noWrap w:val="0"/>
            <w:vAlign w:val="center"/>
          </w:tcPr>
          <w:p>
            <w:pPr>
              <w:widowControl/>
              <w:jc w:val="center"/>
              <w:rPr>
                <w:rFonts w:eastAsia="黑体"/>
                <w:kern w:val="0"/>
                <w:sz w:val="24"/>
              </w:rPr>
            </w:pPr>
            <w:r>
              <w:rPr>
                <w:rFonts w:eastAsia="黑体"/>
                <w:kern w:val="0"/>
                <w:sz w:val="24"/>
              </w:rPr>
              <w:t>服务内容</w:t>
            </w:r>
            <w:r>
              <w:rPr>
                <w:rFonts w:hint="eastAsia" w:eastAsia="黑体"/>
                <w:kern w:val="0"/>
                <w:sz w:val="24"/>
              </w:rPr>
              <w:t>和标准</w:t>
            </w:r>
          </w:p>
        </w:tc>
        <w:tc>
          <w:tcPr>
            <w:tcW w:w="846" w:type="dxa"/>
            <w:noWrap w:val="0"/>
            <w:vAlign w:val="center"/>
          </w:tcPr>
          <w:p>
            <w:pPr>
              <w:widowControl/>
              <w:jc w:val="center"/>
              <w:rPr>
                <w:rFonts w:eastAsia="黑体"/>
                <w:kern w:val="0"/>
                <w:sz w:val="24"/>
              </w:rPr>
            </w:pPr>
            <w:r>
              <w:rPr>
                <w:rFonts w:eastAsia="黑体"/>
                <w:kern w:val="0"/>
                <w:sz w:val="24"/>
              </w:rPr>
              <w:t>数量</w:t>
            </w:r>
          </w:p>
        </w:tc>
        <w:tc>
          <w:tcPr>
            <w:tcW w:w="1063" w:type="dxa"/>
            <w:noWrap w:val="0"/>
            <w:vAlign w:val="center"/>
          </w:tcPr>
          <w:p>
            <w:pPr>
              <w:widowControl/>
              <w:jc w:val="center"/>
              <w:rPr>
                <w:rFonts w:eastAsia="黑体"/>
                <w:kern w:val="0"/>
                <w:sz w:val="24"/>
              </w:rPr>
            </w:pPr>
            <w:r>
              <w:rPr>
                <w:rFonts w:eastAsia="黑体"/>
                <w:kern w:val="0"/>
                <w:sz w:val="24"/>
              </w:rPr>
              <w:t>单价</w:t>
            </w:r>
          </w:p>
        </w:tc>
        <w:tc>
          <w:tcPr>
            <w:tcW w:w="1619" w:type="dxa"/>
            <w:noWrap w:val="0"/>
            <w:vAlign w:val="center"/>
          </w:tcPr>
          <w:p>
            <w:pPr>
              <w:widowControl/>
              <w:jc w:val="center"/>
              <w:rPr>
                <w:rFonts w:eastAsia="黑体"/>
                <w:kern w:val="0"/>
                <w:sz w:val="24"/>
              </w:rPr>
            </w:pPr>
            <w:r>
              <w:rPr>
                <w:rFonts w:hint="eastAsia" w:eastAsia="黑体"/>
                <w:kern w:val="0"/>
                <w:sz w:val="24"/>
              </w:rPr>
              <w:t>合计</w:t>
            </w:r>
            <w:r>
              <w:rPr>
                <w:rFonts w:eastAsia="黑体"/>
                <w:kern w:val="0"/>
                <w:sz w:val="24"/>
              </w:rPr>
              <w:t>金额</w:t>
            </w:r>
            <w:r>
              <w:rPr>
                <w:rFonts w:hint="eastAsia" w:eastAsia="黑体"/>
                <w:kern w:val="0"/>
                <w:sz w:val="24"/>
              </w:rPr>
              <w:t>（</w:t>
            </w:r>
            <w:r>
              <w:rPr>
                <w:rFonts w:eastAsia="黑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eastAsia="黑体"/>
                <w:kern w:val="0"/>
                <w:sz w:val="24"/>
              </w:rPr>
            </w:pPr>
            <w:r>
              <w:rPr>
                <w:rFonts w:eastAsia="黑体"/>
                <w:kern w:val="0"/>
                <w:sz w:val="24"/>
              </w:rPr>
              <w:t>1</w:t>
            </w:r>
          </w:p>
        </w:tc>
        <w:tc>
          <w:tcPr>
            <w:tcW w:w="1969" w:type="dxa"/>
            <w:noWrap w:val="0"/>
            <w:vAlign w:val="center"/>
          </w:tcPr>
          <w:p>
            <w:pPr>
              <w:jc w:val="center"/>
              <w:rPr>
                <w:rFonts w:hint="eastAsia" w:ascii="宋体" w:hAnsi="宋体"/>
                <w:b/>
              </w:rPr>
            </w:pPr>
            <w:r>
              <w:rPr>
                <w:rFonts w:hint="eastAsia" w:ascii="宋体" w:hAnsi="宋体" w:eastAsia="宋体" w:cs="Times New Roman"/>
                <w:b/>
                <w:lang w:val="en-US" w:eastAsia="zh-CN"/>
              </w:rPr>
              <w:t>2023年高校党组织示范微党课</w:t>
            </w:r>
            <w:r>
              <w:rPr>
                <w:rFonts w:hint="eastAsia" w:ascii="宋体" w:hAnsi="宋体" w:eastAsia="宋体" w:cs="Times New Roman"/>
                <w:b/>
              </w:rPr>
              <w:t>宣传片采购方案</w:t>
            </w:r>
          </w:p>
        </w:tc>
        <w:tc>
          <w:tcPr>
            <w:tcW w:w="7254" w:type="dxa"/>
            <w:noWrap w:val="0"/>
            <w:vAlign w:val="center"/>
          </w:tcPr>
          <w:p>
            <w:pPr>
              <w:widowControl/>
              <w:jc w:val="center"/>
              <w:rPr>
                <w:rFonts w:hint="default" w:eastAsia="宋体"/>
                <w:lang w:val="en-US" w:eastAsia="zh-CN"/>
              </w:rPr>
            </w:pPr>
            <w:r>
              <w:rPr>
                <w:rFonts w:hint="eastAsia"/>
                <w:lang w:val="en-US" w:eastAsia="zh-CN"/>
              </w:rPr>
              <w:t>策划、拍摄、制作《</w:t>
            </w:r>
            <w:r>
              <w:rPr>
                <w:rFonts w:hint="eastAsia" w:ascii="宋体" w:hAnsi="宋体"/>
                <w:color w:val="000000"/>
                <w:lang w:val="en-US" w:eastAsia="zh-CN"/>
              </w:rPr>
              <w:t>传承红色基因 培养新时代工匠人才</w:t>
            </w:r>
            <w:r>
              <w:rPr>
                <w:rFonts w:hint="eastAsia"/>
                <w:lang w:val="en-US" w:eastAsia="zh-CN"/>
              </w:rPr>
              <w:t>》宣传片</w:t>
            </w:r>
          </w:p>
        </w:tc>
        <w:tc>
          <w:tcPr>
            <w:tcW w:w="846" w:type="dxa"/>
            <w:noWrap w:val="0"/>
            <w:vAlign w:val="center"/>
          </w:tcPr>
          <w:p>
            <w:pPr>
              <w:widowControl/>
              <w:jc w:val="center"/>
              <w:rPr>
                <w:rFonts w:eastAsia="黑体"/>
                <w:kern w:val="0"/>
                <w:sz w:val="24"/>
              </w:rPr>
            </w:pPr>
            <w:r>
              <w:rPr>
                <w:rFonts w:eastAsia="黑体"/>
                <w:kern w:val="0"/>
                <w:sz w:val="24"/>
              </w:rPr>
              <w:t>1　</w:t>
            </w:r>
          </w:p>
        </w:tc>
        <w:tc>
          <w:tcPr>
            <w:tcW w:w="1063" w:type="dxa"/>
            <w:noWrap w:val="0"/>
            <w:vAlign w:val="center"/>
          </w:tcPr>
          <w:p>
            <w:pPr>
              <w:widowControl/>
              <w:jc w:val="center"/>
              <w:rPr>
                <w:rFonts w:eastAsia="黑体"/>
                <w:kern w:val="0"/>
                <w:sz w:val="24"/>
              </w:rPr>
            </w:pPr>
            <w:r>
              <w:rPr>
                <w:rFonts w:hint="eastAsia" w:eastAsia="黑体"/>
                <w:kern w:val="0"/>
                <w:sz w:val="24"/>
                <w:lang w:val="en-US" w:eastAsia="zh-CN"/>
              </w:rPr>
              <w:t>480</w:t>
            </w:r>
            <w:r>
              <w:rPr>
                <w:rFonts w:eastAsia="黑体"/>
                <w:kern w:val="0"/>
                <w:sz w:val="24"/>
              </w:rPr>
              <w:t>00　</w:t>
            </w:r>
          </w:p>
        </w:tc>
        <w:tc>
          <w:tcPr>
            <w:tcW w:w="1619" w:type="dxa"/>
            <w:noWrap w:val="0"/>
            <w:vAlign w:val="center"/>
          </w:tcPr>
          <w:p>
            <w:pPr>
              <w:widowControl/>
              <w:jc w:val="center"/>
              <w:rPr>
                <w:rFonts w:eastAsia="黑体"/>
                <w:kern w:val="0"/>
                <w:sz w:val="24"/>
              </w:rPr>
            </w:pPr>
            <w:r>
              <w:rPr>
                <w:rFonts w:hint="eastAsia" w:eastAsia="黑体"/>
                <w:kern w:val="0"/>
                <w:sz w:val="24"/>
                <w:lang w:val="en-US" w:eastAsia="zh-CN"/>
              </w:rPr>
              <w:t>480</w:t>
            </w:r>
            <w:r>
              <w:rPr>
                <w:rFonts w:eastAsia="黑体"/>
                <w:kern w:val="0"/>
                <w:sz w:val="24"/>
              </w:rPr>
              <w:t>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eastAsia="黑体"/>
                <w:kern w:val="0"/>
                <w:sz w:val="24"/>
              </w:rPr>
            </w:pPr>
            <w:r>
              <w:rPr>
                <w:rFonts w:eastAsia="黑体"/>
                <w:kern w:val="0"/>
                <w:sz w:val="24"/>
              </w:rPr>
              <w:t>2</w:t>
            </w:r>
          </w:p>
        </w:tc>
        <w:tc>
          <w:tcPr>
            <w:tcW w:w="1969" w:type="dxa"/>
            <w:noWrap w:val="0"/>
            <w:vAlign w:val="center"/>
          </w:tcPr>
          <w:p>
            <w:pPr>
              <w:widowControl/>
              <w:jc w:val="center"/>
              <w:rPr>
                <w:rFonts w:eastAsia="黑体"/>
                <w:kern w:val="0"/>
                <w:sz w:val="24"/>
              </w:rPr>
            </w:pPr>
          </w:p>
        </w:tc>
        <w:tc>
          <w:tcPr>
            <w:tcW w:w="7254" w:type="dxa"/>
            <w:noWrap w:val="0"/>
            <w:vAlign w:val="center"/>
          </w:tcPr>
          <w:p>
            <w:pPr>
              <w:widowControl/>
              <w:jc w:val="center"/>
              <w:rPr>
                <w:rFonts w:eastAsia="黑体"/>
                <w:kern w:val="0"/>
                <w:sz w:val="24"/>
              </w:rPr>
            </w:pPr>
          </w:p>
        </w:tc>
        <w:tc>
          <w:tcPr>
            <w:tcW w:w="846" w:type="dxa"/>
            <w:noWrap w:val="0"/>
            <w:vAlign w:val="center"/>
          </w:tcPr>
          <w:p>
            <w:pPr>
              <w:widowControl/>
              <w:jc w:val="center"/>
              <w:rPr>
                <w:rFonts w:eastAsia="黑体"/>
                <w:kern w:val="0"/>
                <w:sz w:val="24"/>
              </w:rPr>
            </w:pPr>
          </w:p>
        </w:tc>
        <w:tc>
          <w:tcPr>
            <w:tcW w:w="1063" w:type="dxa"/>
            <w:noWrap w:val="0"/>
            <w:vAlign w:val="center"/>
          </w:tcPr>
          <w:p>
            <w:pPr>
              <w:widowControl/>
              <w:jc w:val="center"/>
              <w:rPr>
                <w:rFonts w:eastAsia="黑体"/>
                <w:kern w:val="0"/>
                <w:sz w:val="24"/>
              </w:rPr>
            </w:pPr>
          </w:p>
        </w:tc>
        <w:tc>
          <w:tcPr>
            <w:tcW w:w="1619" w:type="dxa"/>
            <w:noWrap w:val="0"/>
            <w:vAlign w:val="center"/>
          </w:tcPr>
          <w:p>
            <w:pPr>
              <w:widowControl/>
              <w:jc w:val="center"/>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hint="eastAsia" w:eastAsia="黑体"/>
                <w:kern w:val="0"/>
                <w:sz w:val="24"/>
              </w:rPr>
            </w:pPr>
            <w:r>
              <w:rPr>
                <w:rFonts w:hint="eastAsia" w:eastAsia="黑体"/>
                <w:kern w:val="0"/>
                <w:sz w:val="24"/>
              </w:rPr>
              <w:t>3</w:t>
            </w:r>
          </w:p>
        </w:tc>
        <w:tc>
          <w:tcPr>
            <w:tcW w:w="1969" w:type="dxa"/>
            <w:noWrap w:val="0"/>
            <w:vAlign w:val="center"/>
          </w:tcPr>
          <w:p>
            <w:pPr>
              <w:widowControl/>
              <w:jc w:val="center"/>
              <w:rPr>
                <w:rFonts w:eastAsia="黑体"/>
                <w:kern w:val="0"/>
                <w:sz w:val="24"/>
              </w:rPr>
            </w:pPr>
          </w:p>
        </w:tc>
        <w:tc>
          <w:tcPr>
            <w:tcW w:w="7254" w:type="dxa"/>
            <w:noWrap w:val="0"/>
            <w:vAlign w:val="center"/>
          </w:tcPr>
          <w:p>
            <w:pPr>
              <w:widowControl/>
              <w:jc w:val="center"/>
              <w:rPr>
                <w:rFonts w:eastAsia="黑体"/>
                <w:kern w:val="0"/>
                <w:sz w:val="24"/>
              </w:rPr>
            </w:pPr>
          </w:p>
        </w:tc>
        <w:tc>
          <w:tcPr>
            <w:tcW w:w="846" w:type="dxa"/>
            <w:noWrap w:val="0"/>
            <w:vAlign w:val="center"/>
          </w:tcPr>
          <w:p>
            <w:pPr>
              <w:widowControl/>
              <w:jc w:val="center"/>
              <w:rPr>
                <w:rFonts w:eastAsia="黑体"/>
                <w:kern w:val="0"/>
                <w:sz w:val="24"/>
              </w:rPr>
            </w:pPr>
          </w:p>
        </w:tc>
        <w:tc>
          <w:tcPr>
            <w:tcW w:w="1063" w:type="dxa"/>
            <w:noWrap w:val="0"/>
            <w:vAlign w:val="center"/>
          </w:tcPr>
          <w:p>
            <w:pPr>
              <w:widowControl/>
              <w:jc w:val="center"/>
              <w:rPr>
                <w:rFonts w:eastAsia="黑体"/>
                <w:kern w:val="0"/>
                <w:sz w:val="24"/>
              </w:rPr>
            </w:pPr>
          </w:p>
        </w:tc>
        <w:tc>
          <w:tcPr>
            <w:tcW w:w="1619" w:type="dxa"/>
            <w:noWrap w:val="0"/>
            <w:vAlign w:val="center"/>
          </w:tcPr>
          <w:p>
            <w:pPr>
              <w:widowControl/>
              <w:jc w:val="center"/>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eastAsia="黑体"/>
                <w:kern w:val="0"/>
                <w:sz w:val="24"/>
              </w:rPr>
            </w:pPr>
            <w:r>
              <w:rPr>
                <w:rFonts w:eastAsia="黑体"/>
                <w:kern w:val="0"/>
                <w:sz w:val="24"/>
              </w:rPr>
              <w:t>合计</w:t>
            </w:r>
          </w:p>
        </w:tc>
        <w:tc>
          <w:tcPr>
            <w:tcW w:w="9223" w:type="dxa"/>
            <w:gridSpan w:val="2"/>
            <w:noWrap w:val="0"/>
            <w:vAlign w:val="center"/>
          </w:tcPr>
          <w:p>
            <w:pPr>
              <w:widowControl/>
              <w:jc w:val="left"/>
              <w:rPr>
                <w:rFonts w:hint="eastAsia" w:eastAsia="黑体"/>
                <w:kern w:val="0"/>
                <w:sz w:val="24"/>
              </w:rPr>
            </w:pPr>
            <w:r>
              <w:rPr>
                <w:rFonts w:eastAsia="黑体"/>
                <w:kern w:val="0"/>
                <w:sz w:val="24"/>
              </w:rPr>
              <w:t>人民币大写：</w:t>
            </w:r>
            <w:r>
              <w:rPr>
                <w:rFonts w:hint="eastAsia" w:eastAsia="黑体"/>
                <w:kern w:val="0"/>
                <w:sz w:val="24"/>
                <w:lang w:val="en-US" w:eastAsia="zh-CN"/>
              </w:rPr>
              <w:t>肆万捌仟元</w:t>
            </w:r>
            <w:r>
              <w:rPr>
                <w:rFonts w:hint="eastAsia" w:eastAsia="黑体"/>
                <w:kern w:val="0"/>
                <w:sz w:val="24"/>
              </w:rPr>
              <w:t>整</w:t>
            </w:r>
          </w:p>
        </w:tc>
        <w:tc>
          <w:tcPr>
            <w:tcW w:w="846" w:type="dxa"/>
            <w:noWrap w:val="0"/>
            <w:vAlign w:val="center"/>
          </w:tcPr>
          <w:p>
            <w:pPr>
              <w:widowControl/>
              <w:jc w:val="left"/>
              <w:rPr>
                <w:rFonts w:eastAsia="黑体"/>
                <w:kern w:val="0"/>
                <w:sz w:val="24"/>
              </w:rPr>
            </w:pPr>
          </w:p>
        </w:tc>
        <w:tc>
          <w:tcPr>
            <w:tcW w:w="1063" w:type="dxa"/>
            <w:noWrap w:val="0"/>
            <w:vAlign w:val="center"/>
          </w:tcPr>
          <w:p>
            <w:pPr>
              <w:widowControl/>
              <w:jc w:val="left"/>
              <w:rPr>
                <w:rFonts w:eastAsia="黑体"/>
                <w:kern w:val="0"/>
                <w:sz w:val="24"/>
              </w:rPr>
            </w:pPr>
          </w:p>
        </w:tc>
        <w:tc>
          <w:tcPr>
            <w:tcW w:w="1619" w:type="dxa"/>
            <w:noWrap w:val="0"/>
            <w:vAlign w:val="center"/>
          </w:tcPr>
          <w:p>
            <w:pPr>
              <w:widowControl/>
              <w:jc w:val="center"/>
              <w:rPr>
                <w:rFonts w:eastAsia="黑体"/>
                <w:kern w:val="0"/>
                <w:sz w:val="24"/>
              </w:rPr>
            </w:pPr>
            <w:r>
              <w:rPr>
                <w:rFonts w:eastAsia="黑体"/>
                <w:kern w:val="0"/>
                <w:sz w:val="24"/>
              </w:rPr>
              <w:t>　</w:t>
            </w:r>
          </w:p>
        </w:tc>
      </w:tr>
    </w:tbl>
    <w:p>
      <w:pPr>
        <w:widowControl/>
        <w:jc w:val="center"/>
        <w:rPr>
          <w:rFonts w:hint="eastAsia" w:eastAsia="方正小标宋_GBK"/>
          <w:kern w:val="0"/>
          <w:sz w:val="36"/>
          <w:szCs w:val="36"/>
        </w:rPr>
      </w:pPr>
    </w:p>
    <w:p>
      <w:pPr>
        <w:rPr>
          <w:rFonts w:hint="eastAsia" w:ascii="方正仿宋_GBK" w:hAnsi="方正仿宋_GBK" w:eastAsia="方正仿宋_GBK" w:cs="方正仿宋_GBK"/>
          <w:sz w:val="32"/>
          <w:szCs w:val="32"/>
        </w:rPr>
        <w:sectPr>
          <w:footerReference r:id="rId3" w:type="default"/>
          <w:pgSz w:w="16838" w:h="11906" w:orient="landscape"/>
          <w:pgMar w:top="1134" w:right="1157" w:bottom="1134" w:left="1157" w:header="851" w:footer="992" w:gutter="0"/>
          <w:cols w:space="720" w:num="1"/>
          <w:docGrid w:type="lines" w:linePitch="312" w:charSpace="0"/>
        </w:sectPr>
      </w:pPr>
    </w:p>
    <w:p>
      <w:pPr>
        <w:pStyle w:val="7"/>
        <w:shd w:val="clear" w:color="auto" w:fill="FFFFFF"/>
        <w:spacing w:line="360" w:lineRule="auto"/>
        <w:jc w:val="center"/>
        <w:rPr>
          <w:rFonts w:hint="eastAsia"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项目商务需求方案</w:t>
      </w:r>
    </w:p>
    <w:p>
      <w:pPr>
        <w:pStyle w:val="2"/>
        <w:spacing w:before="0" w:after="0" w:line="440" w:lineRule="exact"/>
        <w:rPr>
          <w:rFonts w:ascii="方正仿宋_GBK" w:hAnsi="宋体" w:eastAsia="方正仿宋_GBK"/>
          <w:color w:val="000000"/>
          <w:sz w:val="24"/>
        </w:rPr>
      </w:pPr>
      <w:r>
        <w:rPr>
          <w:rFonts w:hint="eastAsia" w:ascii="方正仿宋_GBK" w:hAnsi="宋体" w:eastAsia="方正仿宋_GBK"/>
          <w:color w:val="000000"/>
          <w:sz w:val="24"/>
        </w:rPr>
        <w:t>一、交货/实施时间、地点及验收方式</w:t>
      </w:r>
    </w:p>
    <w:p>
      <w:pPr>
        <w:pStyle w:val="8"/>
        <w:spacing w:line="400" w:lineRule="exact"/>
        <w:ind w:firstLine="360" w:firstLineChars="150"/>
        <w:rPr>
          <w:rFonts w:hint="eastAsia" w:ascii="方正仿宋_GBK" w:hAnsi="宋体" w:eastAsia="方正仿宋_GBK"/>
          <w:color w:val="000000"/>
          <w:sz w:val="24"/>
        </w:rPr>
      </w:pPr>
      <w:r>
        <w:rPr>
          <w:rFonts w:hint="eastAsia" w:ascii="方正仿宋_GBK" w:hAnsi="宋体" w:eastAsia="方正仿宋_GBK"/>
          <w:color w:val="000000"/>
          <w:sz w:val="24"/>
        </w:rPr>
        <w:t>（一）交货/实施时间</w:t>
      </w:r>
    </w:p>
    <w:p>
      <w:pPr>
        <w:pStyle w:val="8"/>
        <w:tabs>
          <w:tab w:val="left" w:pos="4905"/>
        </w:tabs>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1.签订合同之日起比赛期间内完成合同约定的所有内容。</w:t>
      </w:r>
    </w:p>
    <w:p>
      <w:pPr>
        <w:pStyle w:val="8"/>
        <w:spacing w:line="400" w:lineRule="exact"/>
        <w:ind w:firstLine="360" w:firstLineChars="150"/>
        <w:rPr>
          <w:rFonts w:hint="eastAsia" w:ascii="方正仿宋_GBK" w:hAnsi="宋体" w:eastAsia="方正仿宋_GBK"/>
          <w:color w:val="000000"/>
          <w:sz w:val="24"/>
        </w:rPr>
      </w:pPr>
      <w:r>
        <w:rPr>
          <w:rFonts w:hint="eastAsia" w:ascii="方正仿宋_GBK" w:hAnsi="宋体" w:eastAsia="方正仿宋_GBK"/>
          <w:color w:val="000000"/>
          <w:sz w:val="24"/>
        </w:rPr>
        <w:t>（二）交货/实施地点</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重庆城市管理职业学院。</w:t>
      </w:r>
    </w:p>
    <w:p>
      <w:pPr>
        <w:pStyle w:val="8"/>
        <w:spacing w:line="400" w:lineRule="exact"/>
        <w:ind w:firstLine="360" w:firstLineChars="150"/>
        <w:rPr>
          <w:rFonts w:hint="eastAsia" w:ascii="方正仿宋_GBK" w:hAnsi="宋体" w:eastAsia="方正仿宋_GBK"/>
          <w:color w:val="000000"/>
          <w:sz w:val="24"/>
        </w:rPr>
      </w:pPr>
      <w:r>
        <w:rPr>
          <w:rFonts w:hint="eastAsia" w:ascii="方正仿宋_GBK" w:hAnsi="宋体" w:eastAsia="方正仿宋_GBK"/>
          <w:color w:val="000000"/>
          <w:sz w:val="24"/>
        </w:rPr>
        <w:t>（三）验收方式</w:t>
      </w:r>
    </w:p>
    <w:p>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1.在合同有效期内</w:t>
      </w:r>
      <w:r>
        <w:rPr>
          <w:rFonts w:hint="eastAsia" w:ascii="方正仿宋_GBK" w:hAnsi="宋体" w:eastAsia="方正仿宋_GBK"/>
          <w:color w:val="000000"/>
          <w:sz w:val="24"/>
          <w:lang w:val="en-US" w:eastAsia="zh-CN"/>
        </w:rPr>
        <w:t>提供经双方认可的视频宣传片成品一套</w:t>
      </w:r>
      <w:r>
        <w:rPr>
          <w:rFonts w:hint="eastAsia" w:ascii="方正仿宋_GBK" w:hAnsi="宋体" w:eastAsia="方正仿宋_GBK"/>
          <w:color w:val="000000"/>
          <w:sz w:val="24"/>
        </w:rPr>
        <w:t>。</w:t>
      </w:r>
    </w:p>
    <w:p>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2</w:t>
      </w:r>
      <w:r>
        <w:rPr>
          <w:rFonts w:ascii="方正仿宋_GBK" w:hAnsi="宋体" w:eastAsia="方正仿宋_GBK"/>
          <w:color w:val="000000"/>
          <w:sz w:val="24"/>
        </w:rPr>
        <w:t>.</w:t>
      </w:r>
      <w:r>
        <w:rPr>
          <w:rFonts w:hint="eastAsia" w:ascii="方正仿宋_GBK" w:hAnsi="宋体" w:eastAsia="方正仿宋_GBK"/>
          <w:color w:val="000000"/>
          <w:sz w:val="24"/>
        </w:rPr>
        <w:t>在合同有效期内提供</w:t>
      </w:r>
      <w:r>
        <w:rPr>
          <w:rFonts w:hint="eastAsia" w:ascii="方正仿宋_GBK" w:hAnsi="宋体" w:eastAsia="方正仿宋_GBK"/>
          <w:color w:val="000000"/>
          <w:sz w:val="24"/>
          <w:lang w:val="en-US" w:eastAsia="zh-CN"/>
        </w:rPr>
        <w:t>策划、拍摄等技术</w:t>
      </w:r>
      <w:r>
        <w:rPr>
          <w:rFonts w:hint="eastAsia" w:ascii="方正仿宋_GBK" w:hAnsi="宋体" w:eastAsia="方正仿宋_GBK"/>
          <w:color w:val="000000"/>
          <w:sz w:val="24"/>
        </w:rPr>
        <w:t>服务。</w:t>
      </w:r>
    </w:p>
    <w:p>
      <w:pPr>
        <w:spacing w:line="400" w:lineRule="exact"/>
        <w:ind w:firstLine="480" w:firstLineChars="200"/>
        <w:rPr>
          <w:rFonts w:hint="eastAsia" w:ascii="方正仿宋_GBK" w:hAnsi="宋体" w:eastAsia="方正仿宋_GBK"/>
          <w:color w:val="000000"/>
          <w:sz w:val="24"/>
        </w:rPr>
      </w:pPr>
      <w:r>
        <w:rPr>
          <w:rFonts w:ascii="方正仿宋_GBK" w:hAnsi="宋体" w:eastAsia="方正仿宋_GBK"/>
          <w:color w:val="000000"/>
          <w:sz w:val="24"/>
        </w:rPr>
        <w:t>3</w:t>
      </w:r>
      <w:r>
        <w:rPr>
          <w:rFonts w:hint="eastAsia" w:ascii="方正仿宋_GBK" w:hAnsi="宋体" w:eastAsia="方正仿宋_GBK"/>
          <w:color w:val="000000"/>
          <w:sz w:val="24"/>
        </w:rPr>
        <w:t>.供应商提供的服务未达到采购规定要求，且对采购人造成损失的，由供应商承担一切责任，并赔偿所造成的损失。</w:t>
      </w:r>
    </w:p>
    <w:p>
      <w:pPr>
        <w:spacing w:line="400" w:lineRule="exact"/>
        <w:ind w:firstLine="480" w:firstLineChars="200"/>
        <w:rPr>
          <w:rFonts w:hint="eastAsia" w:ascii="方正仿宋_GBK" w:hAnsi="宋体" w:eastAsia="方正仿宋_GBK"/>
          <w:color w:val="000000"/>
          <w:sz w:val="24"/>
        </w:rPr>
      </w:pPr>
      <w:r>
        <w:rPr>
          <w:rFonts w:ascii="方正仿宋_GBK" w:hAnsi="宋体" w:eastAsia="方正仿宋_GBK"/>
          <w:color w:val="000000"/>
          <w:sz w:val="24"/>
        </w:rPr>
        <w:t>4</w:t>
      </w:r>
      <w:r>
        <w:rPr>
          <w:rFonts w:hint="eastAsia" w:ascii="方正仿宋_GBK" w:hAnsi="宋体" w:eastAsia="方正仿宋_GBK"/>
          <w:color w:val="000000"/>
          <w:sz w:val="24"/>
        </w:rPr>
        <w:t>.大型或者复杂的政府采购产品项目，采购人可邀请国家认可的质量检测机构参加验收工作。</w:t>
      </w:r>
    </w:p>
    <w:p>
      <w:pPr>
        <w:pStyle w:val="2"/>
        <w:spacing w:before="0" w:after="0" w:line="440" w:lineRule="exact"/>
        <w:rPr>
          <w:rFonts w:hint="eastAsia" w:ascii="方正仿宋_GBK" w:hAnsi="宋体" w:eastAsia="方正仿宋_GBK"/>
          <w:color w:val="000000"/>
          <w:sz w:val="24"/>
        </w:rPr>
      </w:pPr>
      <w:r>
        <w:rPr>
          <w:rFonts w:hint="eastAsia" w:ascii="方正仿宋_GBK" w:hAnsi="宋体" w:eastAsia="方正仿宋_GBK"/>
          <w:color w:val="000000"/>
          <w:sz w:val="24"/>
        </w:rPr>
        <w:t>二、质量保证及售后服务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（一）售后服务内容</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供应商在合同约定期内应当为采购人提供以下技术支持服务：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1.合同约定服务期内服务要求</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1.1电话咨询</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供应商应当为用户提供技术援助电话，解答用户在使用中遇到的问题，及时为用户提出解决问题的建议。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1.2现场响应</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用户遇到使用及技术问题，电话咨询不能解决的，成交供应商或制造商应在24小时内采取相应响应措施；无法在24小时内解决的，应在48小时内派出专业人员进行技术支持。</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1.3技术升级</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在合同约定期内，如果供应商服务技术升级，供应商应及时通知采购人，如采购人有相应要求，供应商应对采购人进行升级服务。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2.合同约定期外服务要求</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2.1合同约定期过后，供应商应同样提供免费电话咨询服务，并应承诺提供上门维护服务。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2.2合同约定期过后，采购人需要继续由原成交供应商和制造商提供售后服务的，成交供应商和制造商应以优惠价格提供售后服务。</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（二）故障响应时间要求</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供应商接到使用方产品出现问题的通知后立即作出响应，2小时内进行处理。</w:t>
      </w:r>
    </w:p>
    <w:p>
      <w:pPr>
        <w:pStyle w:val="2"/>
        <w:spacing w:before="0" w:after="0" w:line="400" w:lineRule="exact"/>
        <w:rPr>
          <w:rFonts w:hint="eastAsia" w:ascii="方正仿宋_GBK" w:hAnsi="宋体" w:eastAsia="方正仿宋_GBK"/>
          <w:color w:val="000000"/>
          <w:sz w:val="24"/>
        </w:rPr>
      </w:pPr>
      <w:r>
        <w:rPr>
          <w:rFonts w:hint="eastAsia" w:ascii="方正仿宋_GBK" w:hAnsi="宋体" w:eastAsia="方正仿宋_GBK"/>
          <w:color w:val="000000"/>
          <w:sz w:val="24"/>
        </w:rPr>
        <w:t>三、报价要求</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报价须为人民币报价，包括完成本项目所需的货物、服务与工程及各种应纳的税费。因成交供应商自身原因造成漏报、少报皆由其自行承担责任，采购人不再补偿。</w:t>
      </w:r>
    </w:p>
    <w:p>
      <w:pPr>
        <w:pStyle w:val="4"/>
        <w:keepNext/>
        <w:keepLines/>
        <w:adjustRightInd w:val="0"/>
        <w:snapToGrid w:val="0"/>
        <w:spacing w:before="0" w:beforeAutospacing="0" w:after="0" w:afterAutospacing="0" w:line="400" w:lineRule="exact"/>
        <w:jc w:val="both"/>
        <w:rPr>
          <w:rFonts w:ascii="方正仿宋_GBK" w:eastAsia="方正仿宋_GBK"/>
          <w:color w:val="000000"/>
          <w:kern w:val="2"/>
          <w:sz w:val="24"/>
          <w:szCs w:val="24"/>
        </w:rPr>
      </w:pPr>
      <w:bookmarkStart w:id="0" w:name="_Toc267320051"/>
      <w:bookmarkStart w:id="1" w:name="_Toc75793512"/>
      <w:r>
        <w:rPr>
          <w:rFonts w:ascii="方正仿宋_GBK" w:eastAsia="方正仿宋_GBK"/>
          <w:color w:val="000000"/>
          <w:kern w:val="2"/>
          <w:sz w:val="24"/>
          <w:szCs w:val="24"/>
        </w:rPr>
        <w:t>四、付款方式</w:t>
      </w:r>
      <w:bookmarkEnd w:id="0"/>
      <w:bookmarkEnd w:id="1"/>
    </w:p>
    <w:p>
      <w:pPr>
        <w:spacing w:line="400" w:lineRule="exact"/>
        <w:ind w:firstLine="720" w:firstLineChars="300"/>
        <w:rPr>
          <w:rFonts w:hint="eastAsia" w:ascii="方正仿宋_GBK" w:hAnsi="宋体" w:eastAsia="方正仿宋_GBK"/>
          <w:color w:val="000000"/>
          <w:sz w:val="24"/>
        </w:rPr>
      </w:pPr>
      <w:r>
        <w:rPr>
          <w:rFonts w:hint="eastAsia" w:ascii="方正仿宋_GBK" w:hAnsi="宋体" w:eastAsia="方正仿宋_GBK"/>
          <w:color w:val="000000"/>
          <w:sz w:val="24"/>
        </w:rPr>
        <w:t>服务类：验收合格后，成交供应商向采购人提供增值税普通（或专用）发票，采购人向成交供应商支付合同全款。</w:t>
      </w:r>
    </w:p>
    <w:p>
      <w:pPr>
        <w:pStyle w:val="2"/>
        <w:spacing w:before="0" w:after="0" w:line="400" w:lineRule="exact"/>
        <w:rPr>
          <w:rFonts w:hint="eastAsia" w:ascii="方正仿宋_GBK" w:hAnsi="宋体" w:eastAsia="方正仿宋_GBK"/>
          <w:color w:val="000000"/>
          <w:sz w:val="24"/>
        </w:rPr>
      </w:pPr>
      <w:r>
        <w:rPr>
          <w:rFonts w:hint="eastAsia" w:ascii="方正仿宋_GBK" w:hAnsi="宋体" w:eastAsia="方正仿宋_GBK"/>
          <w:color w:val="000000"/>
          <w:sz w:val="24"/>
        </w:rPr>
        <w:t>五、知识产权及保密要求</w:t>
      </w:r>
    </w:p>
    <w:p>
      <w:pPr>
        <w:ind w:firstLine="600" w:firstLineChars="250"/>
        <w:rPr>
          <w:rFonts w:hint="eastAsia" w:ascii="方正仿宋_GBK" w:hAnsi="宋体" w:eastAsia="方正仿宋_GBK"/>
          <w:color w:val="000000"/>
          <w:sz w:val="24"/>
        </w:rPr>
      </w:pPr>
      <w:r>
        <w:rPr>
          <w:rFonts w:hint="eastAsia" w:ascii="方正仿宋_GBK" w:hAnsi="宋体" w:eastAsia="方正仿宋_GBK"/>
          <w:color w:val="000000"/>
          <w:sz w:val="24"/>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hint="eastAsia" w:ascii="方正仿宋_GBK" w:hAnsi="宋体" w:eastAsia="方正仿宋_GBK" w:cs="宋体"/>
          <w:color w:val="000000"/>
          <w:kern w:val="0"/>
          <w:sz w:val="24"/>
        </w:rPr>
        <w:t>如果第三方提出侵权指控，供应商应承担由此而引起的一切法律责任和费用。</w:t>
      </w:r>
    </w:p>
    <w:p>
      <w:pPr>
        <w:spacing w:line="4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注：（若涉及软件开发等服务类项目知识产权的，知识产权归采购人所有）。</w:t>
      </w:r>
    </w:p>
    <w:p>
      <w:pPr>
        <w:pStyle w:val="2"/>
        <w:spacing w:before="0" w:after="0" w:line="400" w:lineRule="exact"/>
        <w:rPr>
          <w:rFonts w:hint="eastAsia" w:ascii="方正仿宋_GBK" w:hAnsi="宋体" w:eastAsia="方正仿宋_GBK"/>
          <w:color w:val="000000"/>
          <w:sz w:val="24"/>
        </w:rPr>
      </w:pPr>
      <w:r>
        <w:rPr>
          <w:rFonts w:hint="eastAsia" w:ascii="方正仿宋_GBK" w:hAnsi="宋体" w:eastAsia="方正仿宋_GBK"/>
          <w:color w:val="000000"/>
          <w:sz w:val="24"/>
        </w:rPr>
        <w:t>六、培训</w:t>
      </w:r>
    </w:p>
    <w:p>
      <w:pPr>
        <w:snapToGrid w:val="0"/>
        <w:spacing w:line="400" w:lineRule="exact"/>
        <w:ind w:firstLine="540"/>
        <w:rPr>
          <w:rFonts w:hint="eastAsia" w:ascii="方正仿宋_GBK" w:hAnsi="宋体" w:eastAsia="方正仿宋_GBK"/>
          <w:color w:val="000000"/>
          <w:sz w:val="24"/>
        </w:rPr>
      </w:pPr>
      <w:r>
        <w:rPr>
          <w:rFonts w:hint="eastAsia" w:ascii="方正仿宋_GBK" w:hAnsi="宋体" w:eastAsia="方正仿宋_GBK"/>
          <w:color w:val="000000"/>
          <w:sz w:val="24"/>
        </w:rPr>
        <w:t>成交供应商须提供对使用者的操作培训，使相关使用人员能够正常操作相关服务项目。</w:t>
      </w:r>
    </w:p>
    <w:p>
      <w:pPr>
        <w:pStyle w:val="2"/>
        <w:spacing w:before="0" w:after="0" w:line="400" w:lineRule="exact"/>
        <w:rPr>
          <w:rFonts w:hint="eastAsia" w:ascii="方正仿宋_GBK" w:hAnsi="宋体" w:eastAsia="方正仿宋_GBK"/>
          <w:color w:val="000000"/>
          <w:sz w:val="24"/>
        </w:rPr>
      </w:pPr>
      <w:r>
        <w:rPr>
          <w:rFonts w:hint="eastAsia" w:ascii="方正仿宋_GBK" w:hAnsi="宋体" w:eastAsia="方正仿宋_GBK"/>
          <w:color w:val="000000"/>
          <w:sz w:val="24"/>
        </w:rPr>
        <w:t>七、其他</w:t>
      </w:r>
    </w:p>
    <w:p>
      <w:pPr>
        <w:snapToGrid w:val="0"/>
        <w:spacing w:line="400" w:lineRule="exact"/>
        <w:ind w:firstLine="540"/>
        <w:rPr>
          <w:rFonts w:hint="eastAsia" w:ascii="方正仿宋_GBK" w:eastAsia="方正仿宋_GBK"/>
          <w:color w:val="000000"/>
          <w:sz w:val="24"/>
        </w:rPr>
      </w:pPr>
      <w:r>
        <w:rPr>
          <w:rFonts w:hint="eastAsia" w:ascii="方正仿宋_GBK" w:eastAsia="方正仿宋_GBK"/>
          <w:color w:val="000000"/>
          <w:sz w:val="24"/>
        </w:rPr>
        <w:t>（一）供应商必须在响应文件中对以上条款和服务承诺明确列出，承诺内容必须达到本篇及其他条款要求。</w:t>
      </w:r>
    </w:p>
    <w:p>
      <w:pPr>
        <w:ind w:firstLine="480" w:firstLineChars="200"/>
        <w:rPr>
          <w:rFonts w:hint="eastAsia" w:eastAsia="方正仿宋_GBK"/>
          <w:sz w:val="24"/>
        </w:rPr>
      </w:pPr>
      <w:r>
        <w:rPr>
          <w:rFonts w:hint="eastAsia" w:ascii="方正仿宋_GBK" w:eastAsia="方正仿宋_GBK"/>
          <w:color w:val="000000"/>
          <w:sz w:val="24"/>
        </w:rPr>
        <w:t>（二）其他未尽事宜由供需双方在采购合同中详细约定。</w:t>
      </w:r>
    </w:p>
    <w:sectPr>
      <w:footerReference r:id="rId4" w:type="default"/>
      <w:type w:val="continuous"/>
      <w:pgSz w:w="11906" w:h="16838"/>
      <w:pgMar w:top="1157" w:right="1134" w:bottom="115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004F26EE"/>
    <w:rsid w:val="000B60F8"/>
    <w:rsid w:val="000D3317"/>
    <w:rsid w:val="00112ACC"/>
    <w:rsid w:val="00127EBD"/>
    <w:rsid w:val="001B4D9B"/>
    <w:rsid w:val="001C1ACF"/>
    <w:rsid w:val="001D0056"/>
    <w:rsid w:val="001D49B3"/>
    <w:rsid w:val="00310972"/>
    <w:rsid w:val="00314C76"/>
    <w:rsid w:val="003A4BB5"/>
    <w:rsid w:val="004B403E"/>
    <w:rsid w:val="004C543F"/>
    <w:rsid w:val="004F26EE"/>
    <w:rsid w:val="00595D28"/>
    <w:rsid w:val="0060368C"/>
    <w:rsid w:val="006B14E6"/>
    <w:rsid w:val="006B272E"/>
    <w:rsid w:val="006E2A52"/>
    <w:rsid w:val="007C2804"/>
    <w:rsid w:val="007E3B47"/>
    <w:rsid w:val="008302FF"/>
    <w:rsid w:val="0089582B"/>
    <w:rsid w:val="00897884"/>
    <w:rsid w:val="00986990"/>
    <w:rsid w:val="00A21C36"/>
    <w:rsid w:val="00A51D36"/>
    <w:rsid w:val="00AA162A"/>
    <w:rsid w:val="00AE2912"/>
    <w:rsid w:val="00AF1FAE"/>
    <w:rsid w:val="00B31ACA"/>
    <w:rsid w:val="00B810EB"/>
    <w:rsid w:val="00C437B0"/>
    <w:rsid w:val="00C62FD1"/>
    <w:rsid w:val="00C93DCD"/>
    <w:rsid w:val="00CE777B"/>
    <w:rsid w:val="00CF6156"/>
    <w:rsid w:val="00DC054D"/>
    <w:rsid w:val="00DC1F84"/>
    <w:rsid w:val="00F010AB"/>
    <w:rsid w:val="00F32532"/>
    <w:rsid w:val="00F417E7"/>
    <w:rsid w:val="00F759EB"/>
    <w:rsid w:val="00FB495F"/>
    <w:rsid w:val="013870D5"/>
    <w:rsid w:val="01E72E51"/>
    <w:rsid w:val="02091949"/>
    <w:rsid w:val="022A6AFE"/>
    <w:rsid w:val="025B30DD"/>
    <w:rsid w:val="02A50806"/>
    <w:rsid w:val="034368C0"/>
    <w:rsid w:val="03463A74"/>
    <w:rsid w:val="034D4EFB"/>
    <w:rsid w:val="038F4981"/>
    <w:rsid w:val="03A138A7"/>
    <w:rsid w:val="03A56AC4"/>
    <w:rsid w:val="03C2185C"/>
    <w:rsid w:val="03C47E5F"/>
    <w:rsid w:val="04716399"/>
    <w:rsid w:val="0472516E"/>
    <w:rsid w:val="04BF5FAE"/>
    <w:rsid w:val="04E767BC"/>
    <w:rsid w:val="05235592"/>
    <w:rsid w:val="05262D20"/>
    <w:rsid w:val="054022F3"/>
    <w:rsid w:val="055E4098"/>
    <w:rsid w:val="063D6EDA"/>
    <w:rsid w:val="06CC3AE4"/>
    <w:rsid w:val="074D2A37"/>
    <w:rsid w:val="07AA0EFE"/>
    <w:rsid w:val="07C55A3D"/>
    <w:rsid w:val="07D04650"/>
    <w:rsid w:val="081F2B65"/>
    <w:rsid w:val="08523B09"/>
    <w:rsid w:val="086B2D03"/>
    <w:rsid w:val="086D4FAE"/>
    <w:rsid w:val="08A63CA9"/>
    <w:rsid w:val="08D75DD0"/>
    <w:rsid w:val="09012F5C"/>
    <w:rsid w:val="09122277"/>
    <w:rsid w:val="09226D96"/>
    <w:rsid w:val="09783145"/>
    <w:rsid w:val="09931C65"/>
    <w:rsid w:val="09965EA3"/>
    <w:rsid w:val="09CE5773"/>
    <w:rsid w:val="0A667E09"/>
    <w:rsid w:val="0A823CEB"/>
    <w:rsid w:val="0A8B68A2"/>
    <w:rsid w:val="0BB33216"/>
    <w:rsid w:val="0C412C2B"/>
    <w:rsid w:val="0C9235F7"/>
    <w:rsid w:val="0CFB7416"/>
    <w:rsid w:val="0D2B3253"/>
    <w:rsid w:val="0DB95545"/>
    <w:rsid w:val="0DD83A45"/>
    <w:rsid w:val="0DED7006"/>
    <w:rsid w:val="0DF625B5"/>
    <w:rsid w:val="0E210CA6"/>
    <w:rsid w:val="0E2144DE"/>
    <w:rsid w:val="0E5E4B77"/>
    <w:rsid w:val="0E681D49"/>
    <w:rsid w:val="0E994C2E"/>
    <w:rsid w:val="0F080F69"/>
    <w:rsid w:val="0F430503"/>
    <w:rsid w:val="0F6A407F"/>
    <w:rsid w:val="0FA364D6"/>
    <w:rsid w:val="0FAD29FF"/>
    <w:rsid w:val="10146171"/>
    <w:rsid w:val="102A2519"/>
    <w:rsid w:val="10501A8E"/>
    <w:rsid w:val="107A2800"/>
    <w:rsid w:val="107F6E1E"/>
    <w:rsid w:val="10BD6146"/>
    <w:rsid w:val="10F65440"/>
    <w:rsid w:val="110E5F08"/>
    <w:rsid w:val="11425C2F"/>
    <w:rsid w:val="115D3336"/>
    <w:rsid w:val="116566C8"/>
    <w:rsid w:val="12393D1E"/>
    <w:rsid w:val="129A7DD5"/>
    <w:rsid w:val="12DB3D83"/>
    <w:rsid w:val="12F70B6F"/>
    <w:rsid w:val="130F4137"/>
    <w:rsid w:val="13303002"/>
    <w:rsid w:val="1397229E"/>
    <w:rsid w:val="139C6783"/>
    <w:rsid w:val="14194A0C"/>
    <w:rsid w:val="149E43FB"/>
    <w:rsid w:val="152D3B37"/>
    <w:rsid w:val="15CD5BAB"/>
    <w:rsid w:val="15F76625"/>
    <w:rsid w:val="168C6428"/>
    <w:rsid w:val="17242ED5"/>
    <w:rsid w:val="17323535"/>
    <w:rsid w:val="178C3D95"/>
    <w:rsid w:val="17A96E57"/>
    <w:rsid w:val="17D340DB"/>
    <w:rsid w:val="181236ED"/>
    <w:rsid w:val="185760AF"/>
    <w:rsid w:val="192C5B5F"/>
    <w:rsid w:val="19322D14"/>
    <w:rsid w:val="195F1734"/>
    <w:rsid w:val="19944C5E"/>
    <w:rsid w:val="19B73CA4"/>
    <w:rsid w:val="19D271DD"/>
    <w:rsid w:val="19FB6838"/>
    <w:rsid w:val="1A746726"/>
    <w:rsid w:val="1A8A338D"/>
    <w:rsid w:val="1ACC1B36"/>
    <w:rsid w:val="1ADD6405"/>
    <w:rsid w:val="1B152C9E"/>
    <w:rsid w:val="1B2D7593"/>
    <w:rsid w:val="1B4B1F6B"/>
    <w:rsid w:val="1B77130E"/>
    <w:rsid w:val="1C317F35"/>
    <w:rsid w:val="1C77401E"/>
    <w:rsid w:val="1CA555FC"/>
    <w:rsid w:val="1D4A19FC"/>
    <w:rsid w:val="1D814A27"/>
    <w:rsid w:val="1DE4162D"/>
    <w:rsid w:val="1E0201BC"/>
    <w:rsid w:val="1E170B7F"/>
    <w:rsid w:val="1E924F67"/>
    <w:rsid w:val="1E973408"/>
    <w:rsid w:val="1EB27B25"/>
    <w:rsid w:val="1EF94842"/>
    <w:rsid w:val="1F246492"/>
    <w:rsid w:val="1F3B207E"/>
    <w:rsid w:val="1F6A36B9"/>
    <w:rsid w:val="1F962703"/>
    <w:rsid w:val="1FA24DB8"/>
    <w:rsid w:val="1FA731C1"/>
    <w:rsid w:val="1FA93E60"/>
    <w:rsid w:val="1FEA39B6"/>
    <w:rsid w:val="20053CD6"/>
    <w:rsid w:val="20076707"/>
    <w:rsid w:val="2080607D"/>
    <w:rsid w:val="20F56788"/>
    <w:rsid w:val="210448F1"/>
    <w:rsid w:val="213062F7"/>
    <w:rsid w:val="21844EDE"/>
    <w:rsid w:val="220E3907"/>
    <w:rsid w:val="221F4763"/>
    <w:rsid w:val="22264C44"/>
    <w:rsid w:val="22BF632B"/>
    <w:rsid w:val="22F409FE"/>
    <w:rsid w:val="234518DA"/>
    <w:rsid w:val="2365041A"/>
    <w:rsid w:val="23662832"/>
    <w:rsid w:val="238D4242"/>
    <w:rsid w:val="23D308A7"/>
    <w:rsid w:val="241E5BA2"/>
    <w:rsid w:val="245B4E1F"/>
    <w:rsid w:val="245C59BF"/>
    <w:rsid w:val="24730CBF"/>
    <w:rsid w:val="249317E8"/>
    <w:rsid w:val="24AD4D52"/>
    <w:rsid w:val="24B62A7C"/>
    <w:rsid w:val="24CA4DC8"/>
    <w:rsid w:val="254F1687"/>
    <w:rsid w:val="256F0294"/>
    <w:rsid w:val="25722A73"/>
    <w:rsid w:val="25802851"/>
    <w:rsid w:val="25E07542"/>
    <w:rsid w:val="262A589C"/>
    <w:rsid w:val="266D0EFC"/>
    <w:rsid w:val="269D099F"/>
    <w:rsid w:val="26CF0E98"/>
    <w:rsid w:val="26EB4147"/>
    <w:rsid w:val="270E5DB3"/>
    <w:rsid w:val="276C31F9"/>
    <w:rsid w:val="27B07747"/>
    <w:rsid w:val="27B40FD3"/>
    <w:rsid w:val="27EB05C2"/>
    <w:rsid w:val="28110633"/>
    <w:rsid w:val="28894D3A"/>
    <w:rsid w:val="293C6D1F"/>
    <w:rsid w:val="2A1F586A"/>
    <w:rsid w:val="2A226808"/>
    <w:rsid w:val="2A261CB0"/>
    <w:rsid w:val="2A536C5E"/>
    <w:rsid w:val="2A7D4326"/>
    <w:rsid w:val="2AF8344E"/>
    <w:rsid w:val="2B3F259D"/>
    <w:rsid w:val="2B480E79"/>
    <w:rsid w:val="2B4D1AE1"/>
    <w:rsid w:val="2B6C37C8"/>
    <w:rsid w:val="2B755E29"/>
    <w:rsid w:val="2B8E24B9"/>
    <w:rsid w:val="2BB84693"/>
    <w:rsid w:val="2C3B35A1"/>
    <w:rsid w:val="2C505E4F"/>
    <w:rsid w:val="2D6C24E2"/>
    <w:rsid w:val="2DA6706B"/>
    <w:rsid w:val="2DBE7011"/>
    <w:rsid w:val="2E1902F9"/>
    <w:rsid w:val="2E634DB4"/>
    <w:rsid w:val="2E6D4660"/>
    <w:rsid w:val="2E6F464D"/>
    <w:rsid w:val="2E7B2B85"/>
    <w:rsid w:val="2EFA733D"/>
    <w:rsid w:val="2FAE56B9"/>
    <w:rsid w:val="3012736E"/>
    <w:rsid w:val="303974A2"/>
    <w:rsid w:val="303C1142"/>
    <w:rsid w:val="305009AF"/>
    <w:rsid w:val="30840CD7"/>
    <w:rsid w:val="30BF511A"/>
    <w:rsid w:val="30FA2705"/>
    <w:rsid w:val="31531309"/>
    <w:rsid w:val="315917F8"/>
    <w:rsid w:val="3184581E"/>
    <w:rsid w:val="318A34B3"/>
    <w:rsid w:val="321C7844"/>
    <w:rsid w:val="321F1F4B"/>
    <w:rsid w:val="32232BFC"/>
    <w:rsid w:val="327C1916"/>
    <w:rsid w:val="32F27E9D"/>
    <w:rsid w:val="333863BF"/>
    <w:rsid w:val="333F2ED0"/>
    <w:rsid w:val="3370384A"/>
    <w:rsid w:val="337436F9"/>
    <w:rsid w:val="33E90E91"/>
    <w:rsid w:val="3412038E"/>
    <w:rsid w:val="341C4194"/>
    <w:rsid w:val="342339ED"/>
    <w:rsid w:val="34B87EAC"/>
    <w:rsid w:val="34C92A00"/>
    <w:rsid w:val="34CE1EA9"/>
    <w:rsid w:val="35BF6210"/>
    <w:rsid w:val="35D445AC"/>
    <w:rsid w:val="35FA4AC4"/>
    <w:rsid w:val="36034A20"/>
    <w:rsid w:val="3709298B"/>
    <w:rsid w:val="3728779A"/>
    <w:rsid w:val="37385A01"/>
    <w:rsid w:val="375B24F4"/>
    <w:rsid w:val="37780097"/>
    <w:rsid w:val="37856159"/>
    <w:rsid w:val="380066DB"/>
    <w:rsid w:val="381368A9"/>
    <w:rsid w:val="382B1987"/>
    <w:rsid w:val="385D6A30"/>
    <w:rsid w:val="38B553B7"/>
    <w:rsid w:val="38E1740D"/>
    <w:rsid w:val="38E859AA"/>
    <w:rsid w:val="39036169"/>
    <w:rsid w:val="395B4E7C"/>
    <w:rsid w:val="397F2D4D"/>
    <w:rsid w:val="39A712C5"/>
    <w:rsid w:val="39B63432"/>
    <w:rsid w:val="39EA0AE6"/>
    <w:rsid w:val="3A295C65"/>
    <w:rsid w:val="3AC00B0C"/>
    <w:rsid w:val="3B19766D"/>
    <w:rsid w:val="3B5A11FD"/>
    <w:rsid w:val="3B966631"/>
    <w:rsid w:val="3C0458D0"/>
    <w:rsid w:val="3C463166"/>
    <w:rsid w:val="3C52135D"/>
    <w:rsid w:val="3CA74C26"/>
    <w:rsid w:val="3CE92353"/>
    <w:rsid w:val="3CFB47E5"/>
    <w:rsid w:val="3D115F7D"/>
    <w:rsid w:val="3D702E9F"/>
    <w:rsid w:val="3DE22BEA"/>
    <w:rsid w:val="3E36658A"/>
    <w:rsid w:val="3E3D0A23"/>
    <w:rsid w:val="3E62047C"/>
    <w:rsid w:val="3ED10BCE"/>
    <w:rsid w:val="3EF9234B"/>
    <w:rsid w:val="3F1074F0"/>
    <w:rsid w:val="3F4938FA"/>
    <w:rsid w:val="3F4A5B51"/>
    <w:rsid w:val="3FB457A2"/>
    <w:rsid w:val="400E2C48"/>
    <w:rsid w:val="40637166"/>
    <w:rsid w:val="40683F38"/>
    <w:rsid w:val="40752207"/>
    <w:rsid w:val="40AA573E"/>
    <w:rsid w:val="40B335B1"/>
    <w:rsid w:val="40B42C52"/>
    <w:rsid w:val="40D4197F"/>
    <w:rsid w:val="40FE7364"/>
    <w:rsid w:val="412F67D3"/>
    <w:rsid w:val="41914D76"/>
    <w:rsid w:val="423E7169"/>
    <w:rsid w:val="424D7EF0"/>
    <w:rsid w:val="42630188"/>
    <w:rsid w:val="428C4021"/>
    <w:rsid w:val="43104289"/>
    <w:rsid w:val="431166CA"/>
    <w:rsid w:val="43784FA8"/>
    <w:rsid w:val="43D45F57"/>
    <w:rsid w:val="441C7791"/>
    <w:rsid w:val="4461045B"/>
    <w:rsid w:val="44E320E3"/>
    <w:rsid w:val="452F4DD4"/>
    <w:rsid w:val="45534362"/>
    <w:rsid w:val="45673250"/>
    <w:rsid w:val="460321DD"/>
    <w:rsid w:val="462A5649"/>
    <w:rsid w:val="467036F5"/>
    <w:rsid w:val="46924FC9"/>
    <w:rsid w:val="469309FB"/>
    <w:rsid w:val="471772E7"/>
    <w:rsid w:val="47310600"/>
    <w:rsid w:val="47D26B53"/>
    <w:rsid w:val="47E02FC9"/>
    <w:rsid w:val="47E158DD"/>
    <w:rsid w:val="480714C4"/>
    <w:rsid w:val="481B7AFF"/>
    <w:rsid w:val="481E000A"/>
    <w:rsid w:val="484418FD"/>
    <w:rsid w:val="48497BB8"/>
    <w:rsid w:val="48742A01"/>
    <w:rsid w:val="487621FD"/>
    <w:rsid w:val="48D34CA4"/>
    <w:rsid w:val="494E43D6"/>
    <w:rsid w:val="4967223F"/>
    <w:rsid w:val="4A3459A1"/>
    <w:rsid w:val="4A9A43C9"/>
    <w:rsid w:val="4AA60EA6"/>
    <w:rsid w:val="4AAE57CD"/>
    <w:rsid w:val="4B1426D6"/>
    <w:rsid w:val="4B1F7815"/>
    <w:rsid w:val="4B4F7E9D"/>
    <w:rsid w:val="4BA41D5A"/>
    <w:rsid w:val="4BF91A1B"/>
    <w:rsid w:val="4C5E3387"/>
    <w:rsid w:val="4C843DE0"/>
    <w:rsid w:val="4D5B52FF"/>
    <w:rsid w:val="4DA70238"/>
    <w:rsid w:val="4EAF3891"/>
    <w:rsid w:val="4EBC5EBC"/>
    <w:rsid w:val="4EF32C95"/>
    <w:rsid w:val="4FDF2C2E"/>
    <w:rsid w:val="50555054"/>
    <w:rsid w:val="50BA61C2"/>
    <w:rsid w:val="50D9192F"/>
    <w:rsid w:val="50F74D6C"/>
    <w:rsid w:val="51397B74"/>
    <w:rsid w:val="51801CFE"/>
    <w:rsid w:val="52032538"/>
    <w:rsid w:val="52314ED5"/>
    <w:rsid w:val="52355AE4"/>
    <w:rsid w:val="526D0C3E"/>
    <w:rsid w:val="52C376A0"/>
    <w:rsid w:val="52C54EE5"/>
    <w:rsid w:val="52F6152F"/>
    <w:rsid w:val="53C83DE9"/>
    <w:rsid w:val="53E77982"/>
    <w:rsid w:val="54566AA8"/>
    <w:rsid w:val="54A7235E"/>
    <w:rsid w:val="5535754B"/>
    <w:rsid w:val="5537492A"/>
    <w:rsid w:val="5596730D"/>
    <w:rsid w:val="55D6591B"/>
    <w:rsid w:val="56821DBE"/>
    <w:rsid w:val="56A51A57"/>
    <w:rsid w:val="56DC5C63"/>
    <w:rsid w:val="57047C5A"/>
    <w:rsid w:val="5731498C"/>
    <w:rsid w:val="574E0AA5"/>
    <w:rsid w:val="576E0AEF"/>
    <w:rsid w:val="57793FFD"/>
    <w:rsid w:val="57C40748"/>
    <w:rsid w:val="58364A40"/>
    <w:rsid w:val="589D0DFC"/>
    <w:rsid w:val="58A61818"/>
    <w:rsid w:val="58D25B75"/>
    <w:rsid w:val="58D617ED"/>
    <w:rsid w:val="58E725F6"/>
    <w:rsid w:val="58F569C4"/>
    <w:rsid w:val="593162EC"/>
    <w:rsid w:val="596F62C5"/>
    <w:rsid w:val="59812915"/>
    <w:rsid w:val="59A35C8C"/>
    <w:rsid w:val="59C87211"/>
    <w:rsid w:val="59F47A71"/>
    <w:rsid w:val="5A0E1DF1"/>
    <w:rsid w:val="5A1D1556"/>
    <w:rsid w:val="5A3D4805"/>
    <w:rsid w:val="5A465491"/>
    <w:rsid w:val="5A503475"/>
    <w:rsid w:val="5A504C3E"/>
    <w:rsid w:val="5A8B3E96"/>
    <w:rsid w:val="5AC310AB"/>
    <w:rsid w:val="5AD8259C"/>
    <w:rsid w:val="5BAB4F8B"/>
    <w:rsid w:val="5BBA26CC"/>
    <w:rsid w:val="5C152CA0"/>
    <w:rsid w:val="5C8631BF"/>
    <w:rsid w:val="5CB94F63"/>
    <w:rsid w:val="5D6B74D4"/>
    <w:rsid w:val="5DF52FB4"/>
    <w:rsid w:val="5E2845BE"/>
    <w:rsid w:val="5E7B3D8A"/>
    <w:rsid w:val="5EB16C3C"/>
    <w:rsid w:val="5EC17073"/>
    <w:rsid w:val="5F191CAD"/>
    <w:rsid w:val="5F2A503F"/>
    <w:rsid w:val="5F2F36CE"/>
    <w:rsid w:val="5F301B13"/>
    <w:rsid w:val="5F74441C"/>
    <w:rsid w:val="5FB83C0E"/>
    <w:rsid w:val="5FBA4E0C"/>
    <w:rsid w:val="5FBA7AC0"/>
    <w:rsid w:val="60A57C51"/>
    <w:rsid w:val="60A74ADB"/>
    <w:rsid w:val="60B46AEE"/>
    <w:rsid w:val="60E27A3A"/>
    <w:rsid w:val="61A90CE0"/>
    <w:rsid w:val="61AA0506"/>
    <w:rsid w:val="61EC3CCE"/>
    <w:rsid w:val="626F4896"/>
    <w:rsid w:val="62C5784B"/>
    <w:rsid w:val="633B6F95"/>
    <w:rsid w:val="63BB663C"/>
    <w:rsid w:val="63C30F30"/>
    <w:rsid w:val="63D32761"/>
    <w:rsid w:val="63F109D0"/>
    <w:rsid w:val="64545864"/>
    <w:rsid w:val="647635C8"/>
    <w:rsid w:val="659F5F6D"/>
    <w:rsid w:val="6656679C"/>
    <w:rsid w:val="669B1D40"/>
    <w:rsid w:val="66AB2723"/>
    <w:rsid w:val="66BE5F60"/>
    <w:rsid w:val="66D20F8F"/>
    <w:rsid w:val="67046381"/>
    <w:rsid w:val="67556A9C"/>
    <w:rsid w:val="67750840"/>
    <w:rsid w:val="67797872"/>
    <w:rsid w:val="67922EFA"/>
    <w:rsid w:val="6795133C"/>
    <w:rsid w:val="68F23B23"/>
    <w:rsid w:val="69126921"/>
    <w:rsid w:val="693844A8"/>
    <w:rsid w:val="69632288"/>
    <w:rsid w:val="699343FB"/>
    <w:rsid w:val="6A001262"/>
    <w:rsid w:val="6A250901"/>
    <w:rsid w:val="6A4F519B"/>
    <w:rsid w:val="6A6032CA"/>
    <w:rsid w:val="6A6C05BF"/>
    <w:rsid w:val="6A923EC9"/>
    <w:rsid w:val="6A924CF3"/>
    <w:rsid w:val="6AC14969"/>
    <w:rsid w:val="6AE8227C"/>
    <w:rsid w:val="6B3F6C6D"/>
    <w:rsid w:val="6B9444F5"/>
    <w:rsid w:val="6BAB26A5"/>
    <w:rsid w:val="6C000923"/>
    <w:rsid w:val="6C4E7A17"/>
    <w:rsid w:val="6C82397B"/>
    <w:rsid w:val="6CD85176"/>
    <w:rsid w:val="6CDC768E"/>
    <w:rsid w:val="6CEF2927"/>
    <w:rsid w:val="6CF90658"/>
    <w:rsid w:val="6D25655A"/>
    <w:rsid w:val="6D6372B0"/>
    <w:rsid w:val="6DC57146"/>
    <w:rsid w:val="6DDD52E6"/>
    <w:rsid w:val="6E2A1922"/>
    <w:rsid w:val="6E49397A"/>
    <w:rsid w:val="6E8710D5"/>
    <w:rsid w:val="6EAE1443"/>
    <w:rsid w:val="6EE91ECE"/>
    <w:rsid w:val="6F571E13"/>
    <w:rsid w:val="6FA1218C"/>
    <w:rsid w:val="7007218B"/>
    <w:rsid w:val="7035289C"/>
    <w:rsid w:val="70661F30"/>
    <w:rsid w:val="7091168B"/>
    <w:rsid w:val="70B8026D"/>
    <w:rsid w:val="70CF68CD"/>
    <w:rsid w:val="70D20C3F"/>
    <w:rsid w:val="70FE623D"/>
    <w:rsid w:val="71025DA5"/>
    <w:rsid w:val="714B5A89"/>
    <w:rsid w:val="719615FD"/>
    <w:rsid w:val="71B2527A"/>
    <w:rsid w:val="71C17D01"/>
    <w:rsid w:val="71F96BDE"/>
    <w:rsid w:val="7204163D"/>
    <w:rsid w:val="725975BC"/>
    <w:rsid w:val="72653A20"/>
    <w:rsid w:val="72A16027"/>
    <w:rsid w:val="733F670D"/>
    <w:rsid w:val="734E3425"/>
    <w:rsid w:val="73606366"/>
    <w:rsid w:val="73B32174"/>
    <w:rsid w:val="73BB2F1E"/>
    <w:rsid w:val="74890AED"/>
    <w:rsid w:val="74AC7451"/>
    <w:rsid w:val="74AF20EC"/>
    <w:rsid w:val="74C8752C"/>
    <w:rsid w:val="7503518C"/>
    <w:rsid w:val="755248B4"/>
    <w:rsid w:val="75654647"/>
    <w:rsid w:val="756D31A6"/>
    <w:rsid w:val="769F2753"/>
    <w:rsid w:val="76B313AF"/>
    <w:rsid w:val="77177B8E"/>
    <w:rsid w:val="772779E0"/>
    <w:rsid w:val="77B50F99"/>
    <w:rsid w:val="78130112"/>
    <w:rsid w:val="78BC734F"/>
    <w:rsid w:val="78C7706A"/>
    <w:rsid w:val="791820C8"/>
    <w:rsid w:val="793B2D39"/>
    <w:rsid w:val="795F1D72"/>
    <w:rsid w:val="79645F30"/>
    <w:rsid w:val="79AE3B9C"/>
    <w:rsid w:val="79E66017"/>
    <w:rsid w:val="7A1940E8"/>
    <w:rsid w:val="7A252A8D"/>
    <w:rsid w:val="7A29313C"/>
    <w:rsid w:val="7A617DEB"/>
    <w:rsid w:val="7ABD5D84"/>
    <w:rsid w:val="7AD519EB"/>
    <w:rsid w:val="7B05422C"/>
    <w:rsid w:val="7B193C74"/>
    <w:rsid w:val="7B33544A"/>
    <w:rsid w:val="7B3E577E"/>
    <w:rsid w:val="7B4544CA"/>
    <w:rsid w:val="7B4716CD"/>
    <w:rsid w:val="7B575C18"/>
    <w:rsid w:val="7B885496"/>
    <w:rsid w:val="7BE1601B"/>
    <w:rsid w:val="7C087792"/>
    <w:rsid w:val="7C1146B6"/>
    <w:rsid w:val="7C5A61BF"/>
    <w:rsid w:val="7C9C4A0F"/>
    <w:rsid w:val="7CB90E12"/>
    <w:rsid w:val="7CC5141C"/>
    <w:rsid w:val="7CD12F56"/>
    <w:rsid w:val="7D56184A"/>
    <w:rsid w:val="7DAC661C"/>
    <w:rsid w:val="7DC5317B"/>
    <w:rsid w:val="7DC833A6"/>
    <w:rsid w:val="7DCC537A"/>
    <w:rsid w:val="7E212EB2"/>
    <w:rsid w:val="7E566820"/>
    <w:rsid w:val="7E8D6D27"/>
    <w:rsid w:val="7EA366EB"/>
    <w:rsid w:val="7EAD3AD4"/>
    <w:rsid w:val="7EFD2BDB"/>
    <w:rsid w:val="7F3A4084"/>
    <w:rsid w:val="7F421A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5">
    <w:name w:val="annotation text"/>
    <w:basedOn w:val="1"/>
    <w:uiPriority w:val="0"/>
    <w:pPr>
      <w:jc w:val="left"/>
    </w:pPr>
    <w:rPr>
      <w:szCs w:val="20"/>
    </w:rPr>
  </w:style>
  <w:style w:type="paragraph" w:styleId="6">
    <w:name w:val="Body Text"/>
    <w:basedOn w:val="1"/>
    <w:unhideWhenUsed/>
    <w:qFormat/>
    <w:uiPriority w:val="99"/>
    <w:pPr>
      <w:spacing w:after="120"/>
    </w:pPr>
  </w:style>
  <w:style w:type="paragraph" w:styleId="7">
    <w:name w:val="Plain Text"/>
    <w:basedOn w:val="1"/>
    <w:qFormat/>
    <w:uiPriority w:val="0"/>
    <w:rPr>
      <w:rFonts w:hint="default" w:ascii="宋体" w:hAnsi="Courier New"/>
      <w:szCs w:val="21"/>
    </w:rPr>
  </w:style>
  <w:style w:type="paragraph" w:styleId="8">
    <w:name w:val="Body Text Indent 2"/>
    <w:basedOn w:val="1"/>
    <w:qFormat/>
    <w:uiPriority w:val="0"/>
    <w:pPr>
      <w:snapToGrid w:val="0"/>
      <w:spacing w:line="560" w:lineRule="atLeast"/>
      <w:ind w:firstLine="540"/>
    </w:pPr>
  </w:style>
  <w:style w:type="paragraph" w:styleId="9">
    <w:name w:val="Balloon Text"/>
    <w:basedOn w:val="1"/>
    <w:link w:val="18"/>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iPriority w:val="0"/>
    <w:rPr>
      <w:sz w:val="24"/>
    </w:rPr>
  </w:style>
  <w:style w:type="table" w:styleId="14">
    <w:name w:val="Table Grid"/>
    <w:basedOn w:val="13"/>
    <w:qFormat/>
    <w:uiPriority w:val="3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uiPriority w:val="0"/>
    <w:rPr>
      <w:color w:val="0000FF"/>
      <w:u w:val="single"/>
    </w:rPr>
  </w:style>
  <w:style w:type="character" w:customStyle="1" w:styleId="18">
    <w:name w:val="批注框文本 字符"/>
    <w:link w:val="9"/>
    <w:uiPriority w:val="0"/>
    <w:rPr>
      <w:kern w:val="2"/>
      <w:sz w:val="18"/>
      <w:szCs w:val="18"/>
    </w:rPr>
  </w:style>
  <w:style w:type="paragraph" w:customStyle="1" w:styleId="19">
    <w:name w:val="p0"/>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20">
    <w:name w:val="List Paragraph1"/>
    <w:basedOn w:val="1"/>
    <w:uiPriority w:val="0"/>
    <w:pPr>
      <w:ind w:firstLine="200" w:firstLineChars="200"/>
    </w:pPr>
  </w:style>
  <w:style w:type="character" w:customStyle="1" w:styleId="21">
    <w:name w:val="font11"/>
    <w:uiPriority w:val="0"/>
    <w:rPr>
      <w:rFonts w:hint="eastAsia" w:ascii="华文中宋" w:hAnsi="华文中宋" w:eastAsia="华文中宋" w:cs="华文中宋"/>
      <w:color w:val="000000"/>
      <w:sz w:val="22"/>
      <w:szCs w:val="22"/>
      <w:u w:val="none"/>
    </w:rPr>
  </w:style>
  <w:style w:type="character" w:customStyle="1" w:styleId="22">
    <w:name w:val="font41"/>
    <w:uiPriority w:val="0"/>
    <w:rPr>
      <w:rFonts w:hint="eastAsia" w:ascii="宋体" w:hAnsi="宋体" w:eastAsia="宋体" w:cs="宋体"/>
      <w:color w:val="000000"/>
      <w:sz w:val="21"/>
      <w:szCs w:val="21"/>
      <w:u w:val="none"/>
    </w:rPr>
  </w:style>
  <w:style w:type="character" w:customStyle="1" w:styleId="23">
    <w:name w:val="font31"/>
    <w:uiPriority w:val="0"/>
    <w:rPr>
      <w:rFonts w:hint="eastAsia" w:ascii="宋体" w:hAnsi="宋体" w:eastAsia="宋体" w:cs="宋体"/>
      <w:color w:val="FF0000"/>
      <w:sz w:val="21"/>
      <w:szCs w:val="21"/>
      <w:u w:val="none"/>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1795</Words>
  <Characters>1900</Characters>
  <Lines>14</Lines>
  <Paragraphs>4</Paragraphs>
  <TotalTime>0</TotalTime>
  <ScaleCrop>false</ScaleCrop>
  <LinksUpToDate>false</LinksUpToDate>
  <CharactersWithSpaces>1938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2022-06-27T01:54:00Z</dcterms:created>
  <dc:creator>Administrator</dc:creator>
  <cp:lastModifiedBy>唐凌云</cp:lastModifiedBy>
  <dcterms:modified xsi:type="dcterms:W3CDTF">2024-06-05T08:22:11Z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14925207_btnclosed</vt:lpwstr>
  </property>
  <property fmtid="{D5CDD505-2E9C-101B-9397-08002B2CF9AE}" pid="4" name="ICV">
    <vt:lpwstr>9973FF7F7EC04F90B8519E5F9B0D1534_13</vt:lpwstr>
  </property>
</Properties>
</file>