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7BACF0">
      <w:pPr>
        <w:rPr>
          <w:rFonts w:ascii="Times New Roman" w:hAnsi="Times New Roman"/>
        </w:rPr>
      </w:pPr>
    </w:p>
    <w:p w14:paraId="01A6750B">
      <w:pPr>
        <w:pStyle w:val="3"/>
        <w:ind w:firstLine="640"/>
        <w:rPr>
          <w:rFonts w:hint="default" w:ascii="Times New Roman" w:hAnsi="Times New Roman"/>
          <w:b w:val="0"/>
          <w:szCs w:val="21"/>
        </w:rPr>
      </w:pPr>
      <w:r>
        <w:rPr>
          <w:rFonts w:ascii="Times New Roman" w:hAnsi="Times New Roman"/>
        </w:rPr>
        <mc:AlternateContent>
          <mc:Choice Requires="wps">
            <w:drawing>
              <wp:anchor distT="0" distB="0" distL="114300" distR="114300" simplePos="0" relativeHeight="251659264" behindDoc="0" locked="0" layoutInCell="1" allowOverlap="1">
                <wp:simplePos x="0" y="0"/>
                <wp:positionH relativeFrom="column">
                  <wp:posOffset>-20320</wp:posOffset>
                </wp:positionH>
                <wp:positionV relativeFrom="paragraph">
                  <wp:posOffset>0</wp:posOffset>
                </wp:positionV>
                <wp:extent cx="2766060" cy="411480"/>
                <wp:effectExtent l="4445" t="5080" r="10795" b="21590"/>
                <wp:wrapNone/>
                <wp:docPr id="1" name="文本框 1"/>
                <wp:cNvGraphicFramePr/>
                <a:graphic xmlns:a="http://schemas.openxmlformats.org/drawingml/2006/main">
                  <a:graphicData uri="http://schemas.microsoft.com/office/word/2010/wordprocessingShape">
                    <wps:wsp>
                      <wps:cNvSpPr txBox="1"/>
                      <wps:spPr>
                        <a:xfrm>
                          <a:off x="0" y="0"/>
                          <a:ext cx="2766060" cy="41148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561CA2C8">
                            <w:pPr>
                              <w:jc w:val="center"/>
                              <w:rPr>
                                <w:rFonts w:ascii="楷体_GB2312" w:hAnsi="Times New Roman" w:eastAsia="楷体_GB2312"/>
                                <w:sz w:val="24"/>
                                <w:szCs w:val="22"/>
                              </w:rPr>
                            </w:pPr>
                            <w:r>
                              <w:rPr>
                                <w:rFonts w:hint="eastAsia" w:ascii="楷体_GB2312" w:hAnsi="Times New Roman" w:eastAsia="楷体_GB2312"/>
                                <w:sz w:val="24"/>
                                <w:szCs w:val="22"/>
                              </w:rPr>
                              <w:t>20</w:t>
                            </w:r>
                            <w:r>
                              <w:rPr>
                                <w:rFonts w:ascii="楷体_GB2312" w:hAnsi="Times New Roman" w:eastAsia="楷体_GB2312"/>
                                <w:sz w:val="24"/>
                                <w:szCs w:val="22"/>
                              </w:rPr>
                              <w:t>26</w:t>
                            </w:r>
                            <w:r>
                              <w:rPr>
                                <w:rFonts w:hint="eastAsia" w:ascii="楷体_GB2312" w:hAnsi="Times New Roman" w:eastAsia="楷体_GB2312"/>
                                <w:sz w:val="24"/>
                                <w:szCs w:val="22"/>
                              </w:rPr>
                              <w:t>年</w:t>
                            </w:r>
                            <w:r>
                              <w:rPr>
                                <w:rFonts w:hint="eastAsia" w:ascii="楷体_GB2312" w:hAnsi="Times New Roman" w:eastAsia="楷体_GB2312"/>
                                <w:sz w:val="24"/>
                                <w:szCs w:val="22"/>
                                <w:lang w:val="en-US" w:eastAsia="zh-CN"/>
                              </w:rPr>
                              <w:t>9</w:t>
                            </w:r>
                            <w:r>
                              <w:rPr>
                                <w:rFonts w:hint="eastAsia" w:ascii="楷体_GB2312" w:hAnsi="Times New Roman" w:eastAsia="楷体_GB2312"/>
                                <w:sz w:val="24"/>
                                <w:szCs w:val="22"/>
                              </w:rPr>
                              <w:t>月教职工政治理论学习内容</w:t>
                            </w:r>
                          </w:p>
                        </w:txbxContent>
                      </wps:txbx>
                      <wps:bodyPr vert="horz" wrap="square" anchor="t" anchorCtr="0" upright="1"/>
                    </wps:wsp>
                  </a:graphicData>
                </a:graphic>
              </wp:anchor>
            </w:drawing>
          </mc:Choice>
          <mc:Fallback>
            <w:pict>
              <v:shape id="_x0000_s1026" o:spid="_x0000_s1026" o:spt="202" type="#_x0000_t202" style="position:absolute;left:0pt;margin-left:-1.6pt;margin-top:0pt;height:32.4pt;width:217.8pt;z-index:251659264;mso-width-relative:page;mso-height-relative:page;" fillcolor="#FFFFFF" filled="t" stroked="t" coordsize="21600,21600" o:gfxdata="UEsDBAoAAAAAAIdO4kAAAAAAAAAAAAAAAAAEAAAAZHJzL1BLAwQUAAAACACHTuJA+VZAgNYAAAAG&#10;AQAADwAAAGRycy9kb3ducmV2LnhtbE2PT0+DQBTE7yZ+h80z8WLapUAoIo8eTDR602rqdcu+AnH/&#10;ILul9dv7POlxMpOZ39SbszVipikM3iGslgkIcq3Xg+sQ3t8eFiWIEJXTynhHCN8UYNNcXtSq0v7k&#10;Xmnexk5wiQuVQuhjHCspQ9uTVWHpR3LsHfxkVWQ5dVJP6sTl1sg0SQpp1eB4oVcj3ffUfm6PFqHM&#10;n+aP8Jy97NriYG7jzXp+/JoQr69WyR2ISOf4F4ZffEaHhpn2/uh0EAZhkaWcROBD7OZZmoPYIxR5&#10;CbKp5X/85gdQSwMEFAAAAAgAh07iQB/7DDQwAgAAdwQAAA4AAABkcnMvZTJvRG9jLnhtbK1UzY7T&#10;MBC+I/EOlu80bbVblqrpSmwpFwRICw/gOk5iyX/YbpPyAPAGnLhw57n6HHx2SukuHHogh2Q8M/5m&#10;5puZLG57rchO+CCtKelkNKZEGG4raZqSfvywfnZDSYjMVExZI0q6F4HeLp8+WXRuLqa2taoSngDE&#10;hHnnStrG6OZFEXgrNAsj64SBsbZes4ijb4rKsw7oWhXT8XhWdNZXzlsuQoB2NRjpEdFfAmjrWnKx&#10;snyrhYkDqheKRZQUWukCXeZs61rw+K6ug4hElRSVxvxGEMib9C6WCzZvPHOt5McU2CUpPKpJM2kQ&#10;9AS1YpGRrZd/QWnJvQ22jiNudTEUkhlBFZPxI27uW+ZErgVUB3ciPfw/WP52994TWWESKDFMo+GH&#10;b18P338efnwhk0RP58IcXvcOfrF/afvketQHKFPVfe11+qIeAjvI3Z/IFX0kHMrp89lsPIOJw3Y1&#10;mVzdZPaLP7edD/G1sJokoaQezcucst2bEBERrr9dUrBglazWUql88M3mTnmyY2j0Oj8pSVx54KYM&#10;6Ur64np6jTwYprfG1EDUDgwE0+R4D26Ec+Bxfv4FnBJbsdAOCWSE5MbmWkbhs9QKVr0yFYl7B5YN&#10;loumZLSoKFECu5ik7BmZVJd4ojplUhCRJ/3IUmrY0JgkxX7TAzSJG1vt0UTsPthtrf+M+Jh8FP5p&#10;yzyyYYZDXVIwMoh3cViVrfOyaXErd75IYJjHTO9xd9LAn58hn/8vlr8A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VZAgNYAAAAGAQAADwAAAAAAAAABACAAAAAiAAAAZHJzL2Rvd25yZXYueG1sUEsB&#10;AhQAFAAAAAgAh07iQB/7DDQwAgAAdwQAAA4AAAAAAAAAAQAgAAAAJQEAAGRycy9lMm9Eb2MueG1s&#10;UEsFBgAAAAAGAAYAWQEAAMcFAAAAAA==&#10;">
                <v:fill on="t" focussize="0,0"/>
                <v:stroke color="#000000" joinstyle="miter"/>
                <v:imagedata o:title=""/>
                <o:lock v:ext="edit" aspectratio="f"/>
                <v:textbox>
                  <w:txbxContent>
                    <w:p w14:paraId="561CA2C8">
                      <w:pPr>
                        <w:jc w:val="center"/>
                        <w:rPr>
                          <w:rFonts w:ascii="楷体_GB2312" w:hAnsi="Times New Roman" w:eastAsia="楷体_GB2312"/>
                          <w:sz w:val="24"/>
                          <w:szCs w:val="22"/>
                        </w:rPr>
                      </w:pPr>
                      <w:r>
                        <w:rPr>
                          <w:rFonts w:hint="eastAsia" w:ascii="楷体_GB2312" w:hAnsi="Times New Roman" w:eastAsia="楷体_GB2312"/>
                          <w:sz w:val="24"/>
                          <w:szCs w:val="22"/>
                        </w:rPr>
                        <w:t>20</w:t>
                      </w:r>
                      <w:r>
                        <w:rPr>
                          <w:rFonts w:ascii="楷体_GB2312" w:hAnsi="Times New Roman" w:eastAsia="楷体_GB2312"/>
                          <w:sz w:val="24"/>
                          <w:szCs w:val="22"/>
                        </w:rPr>
                        <w:t>26</w:t>
                      </w:r>
                      <w:r>
                        <w:rPr>
                          <w:rFonts w:hint="eastAsia" w:ascii="楷体_GB2312" w:hAnsi="Times New Roman" w:eastAsia="楷体_GB2312"/>
                          <w:sz w:val="24"/>
                          <w:szCs w:val="22"/>
                        </w:rPr>
                        <w:t>年</w:t>
                      </w:r>
                      <w:r>
                        <w:rPr>
                          <w:rFonts w:hint="eastAsia" w:ascii="楷体_GB2312" w:hAnsi="Times New Roman" w:eastAsia="楷体_GB2312"/>
                          <w:sz w:val="24"/>
                          <w:szCs w:val="22"/>
                          <w:lang w:val="en-US" w:eastAsia="zh-CN"/>
                        </w:rPr>
                        <w:t>9</w:t>
                      </w:r>
                      <w:r>
                        <w:rPr>
                          <w:rFonts w:hint="eastAsia" w:ascii="楷体_GB2312" w:hAnsi="Times New Roman" w:eastAsia="楷体_GB2312"/>
                          <w:sz w:val="24"/>
                          <w:szCs w:val="22"/>
                        </w:rPr>
                        <w:t>月教职工政治理论学习内容</w:t>
                      </w:r>
                    </w:p>
                  </w:txbxContent>
                </v:textbox>
              </v:shape>
            </w:pict>
          </mc:Fallback>
        </mc:AlternateContent>
      </w:r>
    </w:p>
    <w:p w14:paraId="69E4D23A">
      <w:pPr>
        <w:jc w:val="center"/>
        <w:rPr>
          <w:rFonts w:ascii="Times New Roman" w:hAnsi="Times New Roman" w:eastAsia="仿宋_GB2312"/>
          <w:sz w:val="32"/>
          <w:szCs w:val="32"/>
        </w:rPr>
      </w:pPr>
      <w:r>
        <w:rPr>
          <w:rFonts w:ascii="Times New Roman" w:hAnsi="Times New Roman" w:eastAsia="方正小标宋_GBK"/>
          <w:b/>
          <w:bCs/>
          <w:kern w:val="0"/>
          <w:sz w:val="44"/>
          <w:szCs w:val="44"/>
        </w:rPr>
        <w:t>关于</w:t>
      </w:r>
      <w:r>
        <w:rPr>
          <w:rFonts w:hint="eastAsia" w:ascii="Times New Roman" w:hAnsi="Times New Roman" w:eastAsia="方正小标宋_GBK"/>
          <w:b/>
          <w:bCs/>
          <w:kern w:val="0"/>
          <w:sz w:val="44"/>
          <w:szCs w:val="44"/>
          <w:lang w:val="en-US" w:eastAsia="zh-CN"/>
        </w:rPr>
        <w:t>9</w:t>
      </w:r>
      <w:r>
        <w:rPr>
          <w:rFonts w:ascii="Times New Roman" w:hAnsi="Times New Roman" w:eastAsia="方正小标宋_GBK"/>
          <w:b/>
          <w:bCs/>
          <w:kern w:val="0"/>
          <w:sz w:val="44"/>
          <w:szCs w:val="44"/>
        </w:rPr>
        <w:t>月份教职工政治理论学习的通知</w:t>
      </w:r>
    </w:p>
    <w:p w14:paraId="0A61F3DC">
      <w:pPr>
        <w:spacing w:line="640" w:lineRule="exact"/>
        <w:rPr>
          <w:rFonts w:ascii="Times New Roman" w:hAnsi="Times New Roman" w:eastAsia="方正仿宋_GBK" w:cs="方正仿宋_GBK"/>
          <w:sz w:val="32"/>
          <w:szCs w:val="32"/>
        </w:rPr>
      </w:pPr>
      <w:r>
        <w:rPr>
          <w:rFonts w:hint="eastAsia" w:ascii="Times New Roman" w:hAnsi="Times New Roman" w:eastAsia="方正仿宋_GBK" w:cs="方正仿宋_GBK"/>
          <w:sz w:val="32"/>
          <w:szCs w:val="32"/>
        </w:rPr>
        <w:t>各二级党组织：</w:t>
      </w:r>
    </w:p>
    <w:p w14:paraId="6AD4F65E">
      <w:pPr>
        <w:spacing w:line="640" w:lineRule="exact"/>
        <w:ind w:firstLine="640" w:firstLineChars="200"/>
        <w:rPr>
          <w:rFonts w:ascii="Times New Roman" w:hAnsi="Times New Roman" w:eastAsia="方正仿宋_GBK" w:cs="方正仿宋_GBK"/>
          <w:kern w:val="0"/>
          <w:sz w:val="32"/>
          <w:szCs w:val="32"/>
        </w:rPr>
      </w:pPr>
      <w:r>
        <w:rPr>
          <w:rFonts w:hint="eastAsia" w:ascii="Times New Roman" w:hAnsi="Times New Roman" w:eastAsia="方正仿宋_GBK" w:cs="方正仿宋_GBK"/>
          <w:kern w:val="0"/>
          <w:sz w:val="32"/>
          <w:szCs w:val="32"/>
        </w:rPr>
        <w:t>根据学校党委有关教职工政治理论学习的要求，</w:t>
      </w:r>
      <w:r>
        <w:rPr>
          <w:rFonts w:hint="eastAsia" w:ascii="Times New Roman" w:hAnsi="Times New Roman" w:eastAsia="方正仿宋_GBK" w:cs="方正仿宋_GBK"/>
          <w:kern w:val="0"/>
          <w:sz w:val="32"/>
          <w:szCs w:val="32"/>
          <w:lang w:val="en-US" w:eastAsia="zh-CN"/>
        </w:rPr>
        <w:t>9</w:t>
      </w:r>
      <w:r>
        <w:rPr>
          <w:rFonts w:hint="eastAsia" w:ascii="Times New Roman" w:hAnsi="Times New Roman" w:eastAsia="方正仿宋_GBK" w:cs="方正仿宋_GBK"/>
          <w:kern w:val="0"/>
          <w:sz w:val="32"/>
          <w:szCs w:val="32"/>
        </w:rPr>
        <w:t>月</w:t>
      </w:r>
      <w:r>
        <w:rPr>
          <w:rFonts w:hint="eastAsia" w:ascii="Times New Roman" w:hAnsi="Times New Roman" w:eastAsia="方正仿宋_GBK" w:cs="方正仿宋_GBK"/>
          <w:kern w:val="0"/>
          <w:sz w:val="32"/>
          <w:szCs w:val="32"/>
          <w:lang w:val="en-US" w:eastAsia="zh-CN"/>
        </w:rPr>
        <w:t>8</w:t>
      </w:r>
      <w:r>
        <w:rPr>
          <w:rFonts w:hint="eastAsia" w:ascii="Times New Roman" w:hAnsi="Times New Roman" w:eastAsia="方正仿宋_GBK" w:cs="方正仿宋_GBK"/>
          <w:kern w:val="0"/>
          <w:sz w:val="32"/>
          <w:szCs w:val="32"/>
        </w:rPr>
        <w:t>日为教职工政治理论学习时间。主要学习内容如下：</w:t>
      </w:r>
    </w:p>
    <w:p w14:paraId="199E0DEB">
      <w:pPr>
        <w:spacing w:line="640" w:lineRule="exact"/>
        <w:ind w:firstLine="640" w:firstLineChars="200"/>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1</w:t>
      </w:r>
      <w:r>
        <w:rPr>
          <w:rFonts w:hint="eastAsia" w:ascii="方正仿宋_GBK" w:hAnsi="方正仿宋_GBK" w:eastAsia="方正仿宋_GBK" w:cs="方正仿宋_GBK"/>
          <w:sz w:val="32"/>
          <w:szCs w:val="32"/>
          <w:lang w:val="en-US" w:eastAsia="zh-CN"/>
        </w:rPr>
        <w:t>.</w:t>
      </w:r>
      <w:r>
        <w:rPr>
          <w:rFonts w:hint="eastAsia" w:ascii="方正仿宋_GBK" w:hAnsi="方正仿宋_GBK" w:eastAsia="方正仿宋_GBK" w:cs="方正仿宋_GBK"/>
          <w:sz w:val="32"/>
          <w:szCs w:val="32"/>
        </w:rPr>
        <w:t>习近平：在纪念江泽民同志诞辰100周年大会上的讲话</w:t>
      </w:r>
    </w:p>
    <w:p w14:paraId="3049AA33">
      <w:pPr>
        <w:spacing w:line="640" w:lineRule="exact"/>
        <w:ind w:firstLine="640" w:firstLineChars="200"/>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2</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习近平：在国家科学技术奖励大会、两院院士大会、中国科协第十一次全国代表大会上的讲话</w:t>
      </w:r>
    </w:p>
    <w:p w14:paraId="5F6C4FD4">
      <w:pPr>
        <w:spacing w:line="640" w:lineRule="exact"/>
        <w:ind w:firstLine="640" w:firstLineChars="200"/>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3</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中共中央召开党外人士座谈会 习近平主持并发表重要讲话</w:t>
      </w:r>
    </w:p>
    <w:p w14:paraId="1068D879">
      <w:pPr>
        <w:spacing w:line="640" w:lineRule="exact"/>
        <w:ind w:firstLine="640" w:firstLineChars="200"/>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4</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习近平在2026世界人工智能大会暨人工智能全球治理高级别会议开幕式上的主旨讲话（全文）</w:t>
      </w:r>
    </w:p>
    <w:p w14:paraId="7D51300C">
      <w:pPr>
        <w:spacing w:line="640" w:lineRule="exact"/>
        <w:ind w:firstLine="640" w:firstLineChars="200"/>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5</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《求是》杂志发表习近平总书记重要文章《提高防灾减灾救灾能力》、《求是》杂志发表习近平总书记重要文章《加快建设健康中国》</w:t>
      </w:r>
    </w:p>
    <w:p w14:paraId="3C970373">
      <w:pPr>
        <w:spacing w:line="640" w:lineRule="exact"/>
        <w:ind w:firstLine="640" w:firstLineChars="200"/>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6</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国务院关于印发《知识产权保护和运用“十五五”规划》的通知</w:t>
      </w:r>
    </w:p>
    <w:p w14:paraId="7839DD8D">
      <w:pPr>
        <w:spacing w:line="640" w:lineRule="exact"/>
        <w:ind w:firstLine="640" w:firstLineChars="200"/>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7</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重庆立法一体推进教育科技人才发展</w:t>
      </w:r>
    </w:p>
    <w:p w14:paraId="37120097">
      <w:pPr>
        <w:spacing w:line="640" w:lineRule="exact"/>
        <w:ind w:firstLine="640" w:firstLineChars="200"/>
        <w:rPr>
          <w:rFonts w:ascii="Times New Roman" w:hAnsi="Times New Roman" w:eastAsia="方正仿宋_GBK" w:cs="方正仿宋_GBK"/>
          <w:sz w:val="32"/>
          <w:szCs w:val="32"/>
        </w:rPr>
      </w:pPr>
      <w:r>
        <w:rPr>
          <w:rFonts w:hint="eastAsia" w:ascii="方正仿宋_GBK" w:hAnsi="方正仿宋_GBK" w:eastAsia="方正仿宋_GBK" w:cs="方正仿宋_GBK"/>
          <w:sz w:val="32"/>
          <w:szCs w:val="32"/>
        </w:rPr>
        <w:t>8</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《重庆市“十五五”教育科技人才一体发展规划（2026—2030年）》全文发布</w:t>
      </w:r>
    </w:p>
    <w:p w14:paraId="2FF50449">
      <w:pPr>
        <w:spacing w:line="640" w:lineRule="exact"/>
        <w:ind w:firstLine="640" w:firstLineChars="200"/>
        <w:rPr>
          <w:rFonts w:ascii="Times New Roman" w:hAnsi="Times New Roman" w:eastAsia="方正仿宋_GBK" w:cs="方正仿宋_GBK"/>
          <w:sz w:val="32"/>
          <w:szCs w:val="32"/>
        </w:rPr>
      </w:pPr>
      <w:r>
        <w:rPr>
          <w:rFonts w:hint="eastAsia" w:ascii="Times New Roman" w:hAnsi="Times New Roman" w:eastAsia="方正仿宋_GBK" w:cs="方正仿宋_GBK"/>
          <w:sz w:val="32"/>
          <w:szCs w:val="32"/>
        </w:rPr>
        <w:t>请各二级党组织认真组织教职工参加学习，并将本单位组织学习情况记录在《重庆城市管理职业</w:t>
      </w:r>
      <w:r>
        <w:rPr>
          <w:rFonts w:hint="eastAsia" w:ascii="Times New Roman" w:hAnsi="Times New Roman" w:eastAsia="方正仿宋_GBK" w:cs="方正仿宋_GBK"/>
          <w:sz w:val="32"/>
          <w:szCs w:val="32"/>
          <w:lang w:val="en-US" w:eastAsia="zh-CN"/>
        </w:rPr>
        <w:t>大</w:t>
      </w:r>
      <w:r>
        <w:rPr>
          <w:rFonts w:hint="eastAsia" w:ascii="Times New Roman" w:hAnsi="Times New Roman" w:eastAsia="方正仿宋_GBK" w:cs="方正仿宋_GBK"/>
          <w:sz w:val="32"/>
          <w:szCs w:val="32"/>
        </w:rPr>
        <w:t>学</w:t>
      </w:r>
      <w:bookmarkStart w:id="0" w:name="_GoBack"/>
      <w:bookmarkEnd w:id="0"/>
      <w:r>
        <w:rPr>
          <w:rFonts w:hint="eastAsia" w:ascii="Times New Roman" w:hAnsi="Times New Roman" w:eastAsia="方正仿宋_GBK" w:cs="方正仿宋_GBK"/>
          <w:sz w:val="32"/>
          <w:szCs w:val="32"/>
        </w:rPr>
        <w:t>教职工政治理论学习记录本》上，学习时间和形式可结合实际作相应调整。</w:t>
      </w:r>
    </w:p>
    <w:p w14:paraId="7D5633DE">
      <w:pPr>
        <w:spacing w:line="600" w:lineRule="exact"/>
        <w:ind w:firstLine="640" w:firstLineChars="200"/>
        <w:rPr>
          <w:rFonts w:ascii="Times New Roman" w:hAnsi="Times New Roman" w:eastAsia="方正仿宋_GBK" w:cs="方正仿宋_GBK"/>
          <w:sz w:val="32"/>
          <w:szCs w:val="32"/>
        </w:rPr>
      </w:pPr>
    </w:p>
    <w:p w14:paraId="7BBFF075">
      <w:pPr>
        <w:spacing w:line="600" w:lineRule="exact"/>
        <w:ind w:firstLine="6560" w:firstLineChars="2050"/>
        <w:rPr>
          <w:rFonts w:ascii="Times New Roman" w:hAnsi="Times New Roman" w:eastAsia="方正仿宋_GBK" w:cs="方正仿宋_GBK"/>
          <w:kern w:val="0"/>
          <w:sz w:val="32"/>
          <w:szCs w:val="32"/>
        </w:rPr>
      </w:pPr>
      <w:r>
        <w:rPr>
          <w:rFonts w:hint="eastAsia" w:ascii="Times New Roman" w:hAnsi="Times New Roman" w:eastAsia="方正仿宋_GBK" w:cs="方正仿宋_GBK"/>
          <w:kern w:val="0"/>
          <w:sz w:val="32"/>
          <w:szCs w:val="32"/>
        </w:rPr>
        <w:t>党委宣传部</w:t>
      </w:r>
    </w:p>
    <w:p w14:paraId="0D78A00F">
      <w:pPr>
        <w:widowControl/>
        <w:spacing w:line="600" w:lineRule="exact"/>
        <w:ind w:right="-156" w:firstLine="6240" w:firstLineChars="1950"/>
        <w:rPr>
          <w:rFonts w:ascii="Times New Roman" w:hAnsi="Times New Roman" w:eastAsia="方正仿宋_GBK" w:cs="方正仿宋_GBK"/>
          <w:color w:val="000000"/>
          <w:kern w:val="0"/>
          <w:sz w:val="32"/>
          <w:szCs w:val="32"/>
        </w:rPr>
      </w:pPr>
      <w:r>
        <w:rPr>
          <w:rFonts w:hint="eastAsia" w:ascii="Times New Roman" w:hAnsi="Times New Roman" w:eastAsia="方正仿宋_GBK" w:cs="方正仿宋_GBK"/>
          <w:kern w:val="0"/>
          <w:sz w:val="32"/>
          <w:szCs w:val="32"/>
        </w:rPr>
        <w:t>202</w:t>
      </w:r>
      <w:r>
        <w:rPr>
          <w:rFonts w:ascii="Times New Roman" w:hAnsi="Times New Roman" w:eastAsia="方正仿宋_GBK" w:cs="方正仿宋_GBK"/>
          <w:kern w:val="0"/>
          <w:sz w:val="32"/>
          <w:szCs w:val="32"/>
        </w:rPr>
        <w:t>6</w:t>
      </w:r>
      <w:r>
        <w:rPr>
          <w:rFonts w:hint="eastAsia" w:ascii="Times New Roman" w:hAnsi="Times New Roman" w:eastAsia="方正仿宋_GBK" w:cs="方正仿宋_GBK"/>
          <w:kern w:val="0"/>
          <w:sz w:val="32"/>
          <w:szCs w:val="32"/>
        </w:rPr>
        <w:t>年</w:t>
      </w:r>
      <w:r>
        <w:rPr>
          <w:rFonts w:hint="eastAsia" w:ascii="Times New Roman" w:hAnsi="Times New Roman" w:eastAsia="方正仿宋_GBK" w:cs="方正仿宋_GBK"/>
          <w:kern w:val="0"/>
          <w:sz w:val="32"/>
          <w:szCs w:val="32"/>
          <w:lang w:val="en-US" w:eastAsia="zh-CN"/>
        </w:rPr>
        <w:t>8</w:t>
      </w:r>
      <w:r>
        <w:rPr>
          <w:rFonts w:hint="eastAsia" w:ascii="Times New Roman" w:hAnsi="Times New Roman" w:eastAsia="方正仿宋_GBK" w:cs="方正仿宋_GBK"/>
          <w:kern w:val="0"/>
          <w:sz w:val="32"/>
          <w:szCs w:val="32"/>
        </w:rPr>
        <w:t>月</w:t>
      </w:r>
      <w:r>
        <w:rPr>
          <w:rFonts w:ascii="Times New Roman" w:hAnsi="Times New Roman" w:eastAsia="方正仿宋_GBK" w:cs="方正仿宋_GBK"/>
          <w:kern w:val="0"/>
          <w:sz w:val="32"/>
          <w:szCs w:val="32"/>
        </w:rPr>
        <w:t>2</w:t>
      </w:r>
      <w:r>
        <w:rPr>
          <w:rFonts w:hint="eastAsia" w:ascii="Times New Roman" w:hAnsi="Times New Roman" w:eastAsia="方正仿宋_GBK" w:cs="方正仿宋_GBK"/>
          <w:kern w:val="0"/>
          <w:sz w:val="32"/>
          <w:szCs w:val="32"/>
          <w:lang w:val="en-US" w:eastAsia="zh-CN"/>
        </w:rPr>
        <w:t>9</w:t>
      </w:r>
      <w:r>
        <w:rPr>
          <w:rFonts w:hint="eastAsia" w:ascii="Times New Roman" w:hAnsi="Times New Roman" w:eastAsia="方正仿宋_GBK" w:cs="方正仿宋_GBK"/>
          <w:kern w:val="0"/>
          <w:sz w:val="32"/>
          <w:szCs w:val="32"/>
        </w:rPr>
        <w:t>日</w:t>
      </w:r>
    </w:p>
    <w:p w14:paraId="67A1141F">
      <w:pPr>
        <w:widowControl/>
        <w:spacing w:line="600" w:lineRule="exact"/>
        <w:jc w:val="center"/>
        <w:rPr>
          <w:rFonts w:ascii="Times New Roman" w:hAnsi="Times New Roman" w:eastAsia="方正仿宋_GBK" w:cs="方正仿宋_GBK"/>
          <w:color w:val="000000"/>
          <w:kern w:val="0"/>
          <w:sz w:val="32"/>
          <w:szCs w:val="32"/>
        </w:rPr>
        <w:sectPr>
          <w:footerReference r:id="rId3" w:type="default"/>
          <w:pgSz w:w="11906" w:h="16838"/>
          <w:pgMar w:top="2098" w:right="1474" w:bottom="1984" w:left="1587" w:header="851" w:footer="1417" w:gutter="0"/>
          <w:cols w:space="720" w:num="1"/>
          <w:docGrid w:type="linesAndChars" w:linePitch="579" w:charSpace="0"/>
        </w:sectPr>
      </w:pPr>
    </w:p>
    <w:p w14:paraId="6057778C">
      <w:pPr>
        <w:widowControl/>
        <w:spacing w:line="480" w:lineRule="exact"/>
        <w:ind w:right="2900"/>
        <w:rPr>
          <w:rFonts w:ascii="Times New Roman" w:hAnsi="Times New Roman" w:eastAsia="方正黑体_GBK"/>
          <w:sz w:val="32"/>
          <w:szCs w:val="32"/>
        </w:rPr>
      </w:pPr>
      <w:r>
        <w:rPr>
          <w:rFonts w:ascii="Times New Roman" w:hAnsi="Times New Roman" w:eastAsia="方正黑体_GBK"/>
          <w:sz w:val="32"/>
          <w:szCs w:val="32"/>
        </w:rPr>
        <w:t>附件1</w:t>
      </w:r>
    </w:p>
    <w:p w14:paraId="2A06AF9D">
      <w:pPr>
        <w:widowControl/>
        <w:spacing w:line="480" w:lineRule="exact"/>
        <w:ind w:right="2900"/>
        <w:rPr>
          <w:rFonts w:ascii="Times New Roman" w:hAnsi="Times New Roman" w:eastAsia="方正黑体_GBK"/>
          <w:sz w:val="32"/>
          <w:szCs w:val="32"/>
        </w:rPr>
      </w:pPr>
    </w:p>
    <w:p w14:paraId="1D37C57A">
      <w:pPr>
        <w:widowControl/>
        <w:spacing w:line="480" w:lineRule="exact"/>
        <w:jc w:val="center"/>
        <w:rPr>
          <w:rFonts w:ascii="Times New Roman" w:hAnsi="Times New Roman" w:eastAsia="方正小标宋_GBK"/>
          <w:color w:val="000000"/>
          <w:spacing w:val="-20"/>
          <w:kern w:val="0"/>
          <w:sz w:val="36"/>
          <w:szCs w:val="36"/>
        </w:rPr>
      </w:pPr>
      <w:r>
        <w:rPr>
          <w:rFonts w:hint="eastAsia" w:ascii="Times New Roman" w:hAnsi="Times New Roman" w:eastAsia="方正小标宋_GBK"/>
          <w:color w:val="000000"/>
          <w:spacing w:val="-20"/>
          <w:kern w:val="0"/>
          <w:sz w:val="36"/>
          <w:szCs w:val="36"/>
        </w:rPr>
        <w:t>习近平：在纪念江泽民同志诞辰100周年大会上的讲话</w:t>
      </w:r>
    </w:p>
    <w:p w14:paraId="7D798BCC">
      <w:pPr>
        <w:widowControl/>
        <w:spacing w:line="480" w:lineRule="exact"/>
        <w:jc w:val="center"/>
        <w:rPr>
          <w:rFonts w:ascii="方正楷体_GBK" w:hAnsi="Times New Roman" w:eastAsia="方正楷体_GBK"/>
          <w:b/>
          <w:sz w:val="24"/>
        </w:rPr>
      </w:pPr>
      <w:r>
        <w:rPr>
          <w:rFonts w:hint="eastAsia" w:ascii="方正楷体_GBK" w:hAnsi="Times New Roman" w:eastAsia="方正楷体_GBK"/>
          <w:b/>
          <w:sz w:val="24"/>
        </w:rPr>
        <w:t xml:space="preserve">（来源：“学习强国”学习平台 </w:t>
      </w:r>
      <w:r>
        <w:rPr>
          <w:rFonts w:ascii="方正楷体_GBK" w:hAnsi="Times New Roman" w:eastAsia="方正楷体_GBK"/>
          <w:b/>
          <w:sz w:val="24"/>
        </w:rPr>
        <w:t xml:space="preserve">     </w:t>
      </w:r>
      <w:r>
        <w:rPr>
          <w:rFonts w:hint="eastAsia" w:ascii="方正楷体_GBK" w:hAnsi="Times New Roman" w:eastAsia="方正楷体_GBK"/>
          <w:b/>
          <w:sz w:val="24"/>
        </w:rPr>
        <w:t>发布时间：202</w:t>
      </w:r>
      <w:r>
        <w:rPr>
          <w:rFonts w:ascii="方正楷体_GBK" w:hAnsi="Times New Roman" w:eastAsia="方正楷体_GBK"/>
          <w:b/>
          <w:sz w:val="24"/>
        </w:rPr>
        <w:t>6</w:t>
      </w:r>
      <w:r>
        <w:rPr>
          <w:rFonts w:hint="eastAsia" w:ascii="方正楷体_GBK" w:hAnsi="Times New Roman" w:eastAsia="方正楷体_GBK"/>
          <w:b/>
          <w:sz w:val="24"/>
        </w:rPr>
        <w:t>-</w:t>
      </w:r>
      <w:r>
        <w:rPr>
          <w:rFonts w:ascii="方正楷体_GBK" w:hAnsi="Times New Roman" w:eastAsia="方正楷体_GBK"/>
          <w:b/>
          <w:sz w:val="24"/>
        </w:rPr>
        <w:t>0</w:t>
      </w:r>
      <w:r>
        <w:rPr>
          <w:rFonts w:hint="eastAsia" w:ascii="方正楷体_GBK" w:hAnsi="Times New Roman" w:eastAsia="方正楷体_GBK"/>
          <w:b/>
          <w:sz w:val="24"/>
          <w:lang w:val="en-US" w:eastAsia="zh-CN"/>
        </w:rPr>
        <w:t>8</w:t>
      </w:r>
      <w:r>
        <w:rPr>
          <w:rFonts w:ascii="方正楷体_GBK" w:hAnsi="Times New Roman" w:eastAsia="方正楷体_GBK"/>
          <w:b/>
          <w:sz w:val="24"/>
        </w:rPr>
        <w:t>-1</w:t>
      </w:r>
      <w:r>
        <w:rPr>
          <w:rFonts w:hint="eastAsia" w:ascii="方正楷体_GBK" w:hAnsi="Times New Roman" w:eastAsia="方正楷体_GBK"/>
          <w:b/>
          <w:sz w:val="24"/>
          <w:lang w:val="en-US" w:eastAsia="zh-CN"/>
        </w:rPr>
        <w:t>7</w:t>
      </w:r>
      <w:r>
        <w:rPr>
          <w:rFonts w:hint="eastAsia" w:ascii="方正楷体_GBK" w:hAnsi="Times New Roman" w:eastAsia="方正楷体_GBK"/>
          <w:b/>
          <w:sz w:val="24"/>
        </w:rPr>
        <w:t>）</w:t>
      </w:r>
    </w:p>
    <w:p w14:paraId="0E2E873C">
      <w:pPr>
        <w:spacing w:line="480" w:lineRule="exact"/>
        <w:ind w:firstLine="480" w:firstLineChars="200"/>
        <w:rPr>
          <w:rFonts w:ascii="Times New Roman" w:hAnsi="Times New Roman" w:eastAsia="方正仿宋_GBK"/>
          <w:color w:val="262626"/>
          <w:kern w:val="0"/>
          <w:sz w:val="24"/>
        </w:rPr>
      </w:pPr>
    </w:p>
    <w:p w14:paraId="04B5F5C2">
      <w:pPr>
        <w:spacing w:line="480" w:lineRule="exact"/>
        <w:rPr>
          <w:rFonts w:hint="eastAsia" w:ascii="Times New Roman" w:hAnsi="Times New Roman" w:eastAsia="方正仿宋_GBK"/>
          <w:color w:val="262626"/>
          <w:kern w:val="0"/>
          <w:sz w:val="24"/>
        </w:rPr>
      </w:pPr>
      <w:r>
        <w:rPr>
          <w:rFonts w:hint="eastAsia" w:ascii="Times New Roman" w:hAnsi="Times New Roman" w:eastAsia="方正仿宋_GBK"/>
          <w:color w:val="262626"/>
          <w:kern w:val="0"/>
          <w:sz w:val="24"/>
        </w:rPr>
        <w:t>同志们，朋友们：</w:t>
      </w:r>
    </w:p>
    <w:p w14:paraId="3AB427EA">
      <w:pPr>
        <w:spacing w:line="480" w:lineRule="exact"/>
        <w:ind w:firstLine="480" w:firstLineChars="200"/>
        <w:rPr>
          <w:rFonts w:hint="eastAsia" w:ascii="Times New Roman" w:hAnsi="Times New Roman" w:eastAsia="方正仿宋_GBK"/>
          <w:color w:val="262626"/>
          <w:kern w:val="0"/>
          <w:sz w:val="24"/>
        </w:rPr>
      </w:pPr>
      <w:r>
        <w:rPr>
          <w:rFonts w:hint="eastAsia" w:ascii="Times New Roman" w:hAnsi="Times New Roman" w:eastAsia="方正仿宋_GBK"/>
          <w:color w:val="262626"/>
          <w:kern w:val="0"/>
          <w:sz w:val="24"/>
        </w:rPr>
        <w:t>今天，我们隆重集会，纪念江泽民同志诞辰一百周年，深切缅怀他的丰功伟绩，深入学习他的崇高风范，激励全党全国各族人民把中国特色社会主义事业不断推向前进。</w:t>
      </w:r>
    </w:p>
    <w:p w14:paraId="6CB49560">
      <w:pPr>
        <w:spacing w:line="480" w:lineRule="exact"/>
        <w:ind w:firstLine="480" w:firstLineChars="200"/>
        <w:rPr>
          <w:rFonts w:hint="eastAsia" w:ascii="Times New Roman" w:hAnsi="Times New Roman" w:eastAsia="方正仿宋_GBK"/>
          <w:color w:val="262626"/>
          <w:kern w:val="0"/>
          <w:sz w:val="24"/>
        </w:rPr>
      </w:pPr>
      <w:r>
        <w:rPr>
          <w:rFonts w:hint="eastAsia" w:ascii="Times New Roman" w:hAnsi="Times New Roman" w:eastAsia="方正仿宋_GBK"/>
          <w:color w:val="262626"/>
          <w:kern w:val="0"/>
          <w:sz w:val="24"/>
        </w:rPr>
        <w:t>江泽民同志是全党全军全国各族人民公认的享有崇高威望的卓越领导人，伟大的马克思主义者，伟大的无产阶级革命家、政治家、军事家、外交家，久经考验的共产主义战士，中国特色社会主义伟大事业的杰出领导者，党的第三代中央领导集体的核心，“三个代表”重要思想的主要创立者。</w:t>
      </w:r>
    </w:p>
    <w:p w14:paraId="1F20F69F">
      <w:pPr>
        <w:spacing w:line="480" w:lineRule="exact"/>
        <w:ind w:firstLine="480" w:firstLineChars="200"/>
        <w:rPr>
          <w:rFonts w:hint="eastAsia" w:ascii="Times New Roman" w:hAnsi="Times New Roman" w:eastAsia="方正仿宋_GBK"/>
          <w:color w:val="262626"/>
          <w:kern w:val="0"/>
          <w:sz w:val="24"/>
        </w:rPr>
      </w:pPr>
      <w:r>
        <w:rPr>
          <w:rFonts w:hint="eastAsia" w:ascii="Times New Roman" w:hAnsi="Times New Roman" w:eastAsia="方正仿宋_GBK"/>
          <w:color w:val="262626"/>
          <w:kern w:val="0"/>
          <w:sz w:val="24"/>
        </w:rPr>
        <w:t>一百年前的今天，江泽民同志出生在江苏省扬州市一个爱国知识分子家庭。他青少年时代就立志追求真理，积极参加爱国进步学生运动，1946年4月加入中国共产党，从此为党和人民事业奉献一生。</w:t>
      </w:r>
    </w:p>
    <w:p w14:paraId="654CD7F2">
      <w:pPr>
        <w:spacing w:line="480" w:lineRule="exact"/>
        <w:ind w:firstLine="480" w:firstLineChars="200"/>
        <w:rPr>
          <w:rFonts w:hint="eastAsia" w:ascii="Times New Roman" w:hAnsi="Times New Roman" w:eastAsia="方正仿宋_GBK"/>
          <w:color w:val="262626"/>
          <w:kern w:val="0"/>
          <w:sz w:val="24"/>
        </w:rPr>
      </w:pPr>
      <w:r>
        <w:rPr>
          <w:rFonts w:hint="eastAsia" w:ascii="Times New Roman" w:hAnsi="Times New Roman" w:eastAsia="方正仿宋_GBK"/>
          <w:color w:val="262626"/>
          <w:kern w:val="0"/>
          <w:sz w:val="24"/>
        </w:rPr>
        <w:t>新中国成立后，江泽民同志先后在企业、科研单位、国家部委工作，在每个岗位都尽职尽责、勤奋努力，把火热年华献给了社会主义革命和建设事业。改革开放初期，江泽民同志担任国家进出口管理委员会、国家外国投资管理委员会副主任兼秘书长，后又任电子工业部第一副部长、部长，在改革开放方面做了大量开拓性工作。在党的十二大上，他当选为中央委员。</w:t>
      </w:r>
    </w:p>
    <w:p w14:paraId="4B388859">
      <w:pPr>
        <w:spacing w:line="480" w:lineRule="exact"/>
        <w:ind w:firstLine="480" w:firstLineChars="200"/>
        <w:rPr>
          <w:rFonts w:hint="eastAsia" w:ascii="Times New Roman" w:hAnsi="Times New Roman" w:eastAsia="方正仿宋_GBK"/>
          <w:color w:val="262626"/>
          <w:kern w:val="0"/>
          <w:sz w:val="24"/>
        </w:rPr>
      </w:pPr>
      <w:r>
        <w:rPr>
          <w:rFonts w:hint="eastAsia" w:ascii="Times New Roman" w:hAnsi="Times New Roman" w:eastAsia="方正仿宋_GBK"/>
          <w:color w:val="262626"/>
          <w:kern w:val="0"/>
          <w:sz w:val="24"/>
        </w:rPr>
        <w:t>1985年，江泽民同志任上海市委副书记、市长。1987年，他在党的十三届一中全会上当选为中央政治局委员，并任上海市委书记。在此期间，江泽民同志带领上海广大干部群众振奋精神、勇于探索，领导制定上海经济发展规划和城市建设规划，推动浦东开发开放蓄势谋篇，为推进上海改革开放和社会主义现代化建设作出了突出贡献。1989年春夏之交我国发生严重政治风波，江泽民同志坚决拥护和执行党中央正确决策，有力维护了上海稳定。</w:t>
      </w:r>
    </w:p>
    <w:p w14:paraId="3A0DDFE3">
      <w:pPr>
        <w:spacing w:line="480" w:lineRule="exact"/>
        <w:ind w:firstLine="480" w:firstLineChars="200"/>
        <w:rPr>
          <w:rFonts w:hint="eastAsia" w:ascii="Times New Roman" w:hAnsi="Times New Roman" w:eastAsia="方正仿宋_GBK"/>
          <w:color w:val="262626"/>
          <w:kern w:val="0"/>
          <w:sz w:val="24"/>
        </w:rPr>
      </w:pPr>
      <w:r>
        <w:rPr>
          <w:rFonts w:hint="eastAsia" w:ascii="Times New Roman" w:hAnsi="Times New Roman" w:eastAsia="方正仿宋_GBK"/>
          <w:color w:val="262626"/>
          <w:kern w:val="0"/>
          <w:sz w:val="24"/>
        </w:rPr>
        <w:t>1989年6月，江泽民同志在党的十三届四中全会上当选为中央政治局常委、中央委员会总书记，同年11月党的十三届五中全会决定他为中共中央军事委员会主席，形成以江泽民同志为核心的党的第三代中央领导集体。</w:t>
      </w:r>
    </w:p>
    <w:p w14:paraId="2B4E56A0">
      <w:pPr>
        <w:spacing w:line="480" w:lineRule="exact"/>
        <w:ind w:firstLine="480" w:firstLineChars="200"/>
        <w:rPr>
          <w:rFonts w:hint="eastAsia" w:ascii="Times New Roman" w:hAnsi="Times New Roman" w:eastAsia="方正仿宋_GBK"/>
          <w:color w:val="262626"/>
          <w:kern w:val="0"/>
          <w:sz w:val="24"/>
        </w:rPr>
      </w:pPr>
      <w:r>
        <w:rPr>
          <w:rFonts w:hint="eastAsia" w:ascii="Times New Roman" w:hAnsi="Times New Roman" w:eastAsia="方正仿宋_GBK"/>
          <w:color w:val="262626"/>
          <w:kern w:val="0"/>
          <w:sz w:val="24"/>
        </w:rPr>
        <w:t>从党的十三届四中全会到党的十六大的13年中，国际形势错综复杂，我国改革开放和社会主义现代化建设进程波澜壮阔。江泽民同志带领党的中央领导集体，高举马克思列宁主义、毛泽东思想、邓小平理论伟大旗帜，坚持党的基本路线不动摇，紧紧依靠全党全军全国各族人民，坚定不移坚持和发展中国特色社会主义，开创了我国改革开放和社会主义现代化建设新局面。</w:t>
      </w:r>
    </w:p>
    <w:p w14:paraId="6945A06F">
      <w:pPr>
        <w:spacing w:line="480" w:lineRule="exact"/>
        <w:ind w:firstLine="480" w:firstLineChars="200"/>
        <w:rPr>
          <w:rFonts w:hint="eastAsia" w:ascii="Times New Roman" w:hAnsi="Times New Roman" w:eastAsia="方正仿宋_GBK"/>
          <w:color w:val="262626"/>
          <w:kern w:val="0"/>
          <w:sz w:val="24"/>
        </w:rPr>
      </w:pPr>
      <w:r>
        <w:rPr>
          <w:rFonts w:hint="eastAsia" w:ascii="Times New Roman" w:hAnsi="Times New Roman" w:eastAsia="方正仿宋_GBK"/>
          <w:color w:val="262626"/>
          <w:kern w:val="0"/>
          <w:sz w:val="24"/>
        </w:rPr>
        <w:t>在筹备党的十六大期间，江泽民同志主动提出不再担任中央领导职务，2004年主动提出辞去他担任的党和国家中央军事委员会主席的职务。从领导岗位上退下来后，江泽民同志坚决拥护和支持党中央工作，关心中国特色社会主义伟大事业，坚定支持党风廉政建设和反腐败斗争。</w:t>
      </w:r>
    </w:p>
    <w:p w14:paraId="33971B80">
      <w:pPr>
        <w:spacing w:line="480" w:lineRule="exact"/>
        <w:ind w:firstLine="480" w:firstLineChars="200"/>
        <w:rPr>
          <w:rFonts w:hint="eastAsia" w:ascii="Times New Roman" w:hAnsi="Times New Roman" w:eastAsia="方正仿宋_GBK"/>
          <w:color w:val="262626"/>
          <w:kern w:val="0"/>
          <w:sz w:val="24"/>
        </w:rPr>
      </w:pPr>
      <w:r>
        <w:rPr>
          <w:rFonts w:hint="eastAsia" w:ascii="Times New Roman" w:hAnsi="Times New Roman" w:eastAsia="方正仿宋_GBK"/>
          <w:color w:val="262626"/>
          <w:kern w:val="0"/>
          <w:sz w:val="24"/>
        </w:rPr>
        <w:t>同志们、朋友们！</w:t>
      </w:r>
    </w:p>
    <w:p w14:paraId="63AD8351">
      <w:pPr>
        <w:spacing w:line="480" w:lineRule="exact"/>
        <w:ind w:firstLine="480" w:firstLineChars="200"/>
        <w:rPr>
          <w:rFonts w:hint="eastAsia" w:ascii="Times New Roman" w:hAnsi="Times New Roman" w:eastAsia="方正仿宋_GBK"/>
          <w:color w:val="262626"/>
          <w:kern w:val="0"/>
          <w:sz w:val="24"/>
        </w:rPr>
      </w:pPr>
      <w:r>
        <w:rPr>
          <w:rFonts w:hint="eastAsia" w:ascii="Times New Roman" w:hAnsi="Times New Roman" w:eastAsia="方正仿宋_GBK"/>
          <w:color w:val="262626"/>
          <w:kern w:val="0"/>
          <w:sz w:val="24"/>
        </w:rPr>
        <w:t>江泽民同志的一生，是光辉的一生、战斗的一生，他为争取民族独立、人民解放和实现国家富强、人民幸福鞠躬尽瘁、奋斗终身。他领导推动社会主义物质文明、政治文明、精神文明建设和党的建设取得举世瞩目的新进展，为捍卫中国特色社会主义伟大事业、开创全面改革开放新局面、实现人民生活总体小康、成功把中国特色社会主义推向二十一世纪作出了不可磨灭的贡献，赢得了全党全军全国各族人民衷心爱戴和国际社会广泛赞誉！</w:t>
      </w:r>
    </w:p>
    <w:p w14:paraId="3AF48DC6">
      <w:pPr>
        <w:spacing w:line="480" w:lineRule="exact"/>
        <w:ind w:firstLine="480" w:firstLineChars="200"/>
        <w:rPr>
          <w:rFonts w:hint="eastAsia" w:ascii="Times New Roman" w:hAnsi="Times New Roman" w:eastAsia="方正仿宋_GBK"/>
          <w:color w:val="262626"/>
          <w:kern w:val="0"/>
          <w:sz w:val="24"/>
        </w:rPr>
      </w:pPr>
      <w:r>
        <w:rPr>
          <w:rFonts w:hint="eastAsia" w:ascii="Times New Roman" w:hAnsi="Times New Roman" w:eastAsia="方正仿宋_GBK"/>
          <w:color w:val="262626"/>
          <w:kern w:val="0"/>
          <w:sz w:val="24"/>
        </w:rPr>
        <w:t>同志们、朋友们！</w:t>
      </w:r>
    </w:p>
    <w:p w14:paraId="16C033D1">
      <w:pPr>
        <w:spacing w:line="480" w:lineRule="exact"/>
        <w:ind w:firstLine="480" w:firstLineChars="200"/>
        <w:rPr>
          <w:rFonts w:hint="eastAsia" w:ascii="Times New Roman" w:hAnsi="Times New Roman" w:eastAsia="方正仿宋_GBK"/>
          <w:color w:val="262626"/>
          <w:kern w:val="0"/>
          <w:sz w:val="24"/>
        </w:rPr>
      </w:pPr>
      <w:r>
        <w:rPr>
          <w:rFonts w:hint="eastAsia" w:ascii="Times New Roman" w:hAnsi="Times New Roman" w:eastAsia="方正仿宋_GBK"/>
          <w:color w:val="262626"/>
          <w:kern w:val="0"/>
          <w:sz w:val="24"/>
        </w:rPr>
        <w:t>在70多年的革命生涯中，特别是在党的十三届四中全会之后推动党和国家事业取得巨大成就的伟大实践中，江泽民同志充分展示了作为马克思主义政治家的雄才大略、关键作用、领导艺术，树立了永远值得我们学习、永远激励我们前进的崇高风范。</w:t>
      </w:r>
    </w:p>
    <w:p w14:paraId="32D39CA3">
      <w:pPr>
        <w:spacing w:line="480" w:lineRule="exact"/>
        <w:ind w:firstLine="480" w:firstLineChars="200"/>
        <w:rPr>
          <w:rFonts w:hint="eastAsia" w:ascii="Times New Roman" w:hAnsi="Times New Roman" w:eastAsia="方正仿宋_GBK"/>
          <w:color w:val="262626"/>
          <w:kern w:val="0"/>
          <w:sz w:val="24"/>
        </w:rPr>
      </w:pPr>
      <w:r>
        <w:rPr>
          <w:rFonts w:hint="eastAsia" w:ascii="Times New Roman" w:hAnsi="Times New Roman" w:eastAsia="方正仿宋_GBK"/>
          <w:color w:val="262626"/>
          <w:kern w:val="0"/>
          <w:sz w:val="24"/>
        </w:rPr>
        <w:t>——我们要学习江泽民同志坚定如磐的政治信仰。江泽民同志对共产主义理想坚贞不渝，对党和人民无限忠诚，矢志不移为党和人民事业而奋斗。他说：“我们共产党人的根本政治信仰是社会主义和共产主义，世界观是马克思主义的辩证唯物主义和历史唯物主义，这是任何时候都丝毫不能动摇的。”他临危受命担任党和军队主要领导职务时表示，对党的十一届三中全会以来的路线和基本政策，“要十分明确地讲两句话：一句是坚定不移，毫不动摇；一句是全面执行，一以贯之”。“为了党和人民的事业，我一定鞠躬尽瘁、死而后已”。面对20世纪80年代末90年代初国际风云变幻和国内发生严重政治风波的重大考验时，他毫不动摇坚持经济建设这个中心，旗帜鲜明坚持四项基本原则，坚持改革开放，开展治理整顿，进行外交斗争，坚决维护了国家的独立、尊严、安全、稳定。他深刻总结国内外经验教训，强调治国必先治党、治党务必从严，越是改革开放、发展经济，越要加强党的领导、抓好党的建设。他提出我们党始终是中国工人阶级的先锋队，同时是中国人民和中华民族的先锋队，强调领导干部要讲学习、讲政治、讲正气，推动着力解决提高领导水平和执政水平、增强拒腐防变和抵御风险能力两大历史性课题，保持党的先进性和纯洁性，扎实推进了党的建设新的伟大工程。</w:t>
      </w:r>
    </w:p>
    <w:p w14:paraId="30A9EF32">
      <w:pPr>
        <w:spacing w:line="480" w:lineRule="exact"/>
        <w:ind w:firstLine="480" w:firstLineChars="200"/>
        <w:rPr>
          <w:rFonts w:hint="eastAsia" w:ascii="Times New Roman" w:hAnsi="Times New Roman" w:eastAsia="方正仿宋_GBK"/>
          <w:color w:val="262626"/>
          <w:kern w:val="0"/>
          <w:sz w:val="24"/>
        </w:rPr>
      </w:pPr>
      <w:r>
        <w:rPr>
          <w:rFonts w:hint="eastAsia" w:ascii="Times New Roman" w:hAnsi="Times New Roman" w:eastAsia="方正仿宋_GBK"/>
          <w:color w:val="262626"/>
          <w:kern w:val="0"/>
          <w:sz w:val="24"/>
        </w:rPr>
        <w:t>新征程上，我们要不忘初心、牢记使命，坚定对马克思主义的信仰、对共产主义的信念、对中国特色社会主义的信心，坚持党的基本理论、基本路线、基本方略，自觉增强“四个意识”、坚定“四个自信”、做到“两个维护”。要坚持党的全面领导和党中央集中统一领导，持之以恒推进全面从严治党，确保党始终成为中国特色社会主义事业的坚强领导核心。</w:t>
      </w:r>
    </w:p>
    <w:p w14:paraId="4A67D178">
      <w:pPr>
        <w:spacing w:line="480" w:lineRule="exact"/>
        <w:ind w:firstLine="480" w:firstLineChars="200"/>
        <w:rPr>
          <w:rFonts w:hint="eastAsia" w:ascii="Times New Roman" w:hAnsi="Times New Roman" w:eastAsia="方正仿宋_GBK"/>
          <w:color w:val="262626"/>
          <w:kern w:val="0"/>
          <w:sz w:val="24"/>
        </w:rPr>
      </w:pPr>
      <w:r>
        <w:rPr>
          <w:rFonts w:hint="eastAsia" w:ascii="Times New Roman" w:hAnsi="Times New Roman" w:eastAsia="方正仿宋_GBK"/>
          <w:color w:val="262626"/>
          <w:kern w:val="0"/>
          <w:sz w:val="24"/>
        </w:rPr>
        <w:t>——我们要学习江泽民同志真挚深厚的为民情怀。江泽民同志始终站在人民立场，关心人民群众安危冷暖，从最广大人民根本利益出发部署和推动工作。他强调：“全心全意为人民服务，立党为公，执政为民，是我们党同一切剥削阶级政党的根本区别。”“在任何时候任何情况下，与人民群众同呼吸、共命运的立场不能变，全心全意为人民服务的宗旨不能忘，坚信群众是真正英雄的历史唯物主义观点不能丢。”他深刻指出，发展经济的根本目的是提高全国人民生活水平和质量，强调要全面建设惠及十几亿人口的更高水平的小康社会。他要求党员、干部始终深怀爱民之心，恪守为民之责，善谋富民之策，多办利民之事，把最广大人民的根本利益实现好、维护好、发展好，把人民群众的积极性引导好、保护好、发挥好。他领导实施西部大开发战略、国家八七扶贫攻坚计划，出台增加农民收入、关心国有企业下岗职工生活和再就业等政策举措，有力推动了新时期实现人民生活从温饱不足到总体小康、奔向全面小康的历史性跨越。</w:t>
      </w:r>
    </w:p>
    <w:p w14:paraId="241F053D">
      <w:pPr>
        <w:spacing w:line="480" w:lineRule="exact"/>
        <w:ind w:firstLine="480" w:firstLineChars="200"/>
        <w:rPr>
          <w:rFonts w:hint="eastAsia" w:ascii="Times New Roman" w:hAnsi="Times New Roman" w:eastAsia="方正仿宋_GBK"/>
          <w:color w:val="262626"/>
          <w:kern w:val="0"/>
          <w:sz w:val="24"/>
        </w:rPr>
      </w:pPr>
      <w:r>
        <w:rPr>
          <w:rFonts w:hint="eastAsia" w:ascii="Times New Roman" w:hAnsi="Times New Roman" w:eastAsia="方正仿宋_GBK"/>
          <w:color w:val="262626"/>
          <w:kern w:val="0"/>
          <w:sz w:val="24"/>
        </w:rPr>
        <w:t>新征程上，我们要牢记江山就是人民、人民就是江山，坚持以人民为中心的发展思想，树立和践行正确政绩观，站稳人民立场，强化公仆意识，走好新时代党的群众路线，依靠人民创造历史伟业，推动人的全面发展、全体人民共同富裕迈出坚实步伐。</w:t>
      </w:r>
    </w:p>
    <w:p w14:paraId="407E645C">
      <w:pPr>
        <w:spacing w:line="480" w:lineRule="exact"/>
        <w:ind w:firstLine="480" w:firstLineChars="200"/>
        <w:rPr>
          <w:rFonts w:hint="eastAsia" w:ascii="Times New Roman" w:hAnsi="Times New Roman" w:eastAsia="方正仿宋_GBK"/>
          <w:color w:val="262626"/>
          <w:kern w:val="0"/>
          <w:sz w:val="24"/>
        </w:rPr>
      </w:pPr>
      <w:r>
        <w:rPr>
          <w:rFonts w:hint="eastAsia" w:ascii="Times New Roman" w:hAnsi="Times New Roman" w:eastAsia="方正仿宋_GBK"/>
          <w:color w:val="262626"/>
          <w:kern w:val="0"/>
          <w:sz w:val="24"/>
        </w:rPr>
        <w:t>——我们要学习江泽民同志与时俱进的创新精神。江泽民同志坚持解放思想、实事求是、与时俱进，顺应时代发展要求和实践发展需要，不断推进理论创新、制度创新、科技创新、文化创新以及其他各方面创新。他强调：“创新是一个民族进步的灵魂，是一个国家兴旺发达的不竭动力，也是一个政党永葆生机的源泉。”“一定要以我国改革开放和现代化建设的实际问题、以我们正在做的事情为中心，着眼于马克思主义理论的运用，着眼于对实际问题的理论思考，着眼于新的实践和新的发展。”他提出党的全部理论和工作要体现时代性、把握规律性、富于创造性，集中全党智慧创立“三个代表”重要思想，强调我们党始终代表中国先进生产力的发展要求、代表中国先进文化的前进方向、代表中国最广大人民的根本利益，进一步回答了什么是社会主义、怎样建设社会主义的问题，创造性回答了建设什么样的党、怎样建设党的问题，深化了我们对新的时代条件下推进中国特色社会主义事业、加强党的建设规律的认识。他领导我们确定党在社会主义初级阶段的基本纲领，确立社会主义市场经济体制的改革目标和基本框架，确立公有制为主体、多种所有制经济共同发展的基本经济制度和按劳分配为主体、多种分配方式并存的分配制度，推动经济体制、政治体制、文化体制等各方面改革。他提出坚持“引进来”和“走出去”相结合，以开放促改革促发展，领导我们成功加入世界贸易组织，形成对外开放新格局。</w:t>
      </w:r>
    </w:p>
    <w:p w14:paraId="78454D1C">
      <w:pPr>
        <w:spacing w:line="480" w:lineRule="exact"/>
        <w:ind w:firstLine="480" w:firstLineChars="200"/>
        <w:rPr>
          <w:rFonts w:hint="eastAsia" w:ascii="Times New Roman" w:hAnsi="Times New Roman" w:eastAsia="方正仿宋_GBK"/>
          <w:color w:val="262626"/>
          <w:kern w:val="0"/>
          <w:sz w:val="24"/>
        </w:rPr>
      </w:pPr>
      <w:r>
        <w:rPr>
          <w:rFonts w:hint="eastAsia" w:ascii="Times New Roman" w:hAnsi="Times New Roman" w:eastAsia="方正仿宋_GBK"/>
          <w:color w:val="262626"/>
          <w:kern w:val="0"/>
          <w:sz w:val="24"/>
        </w:rPr>
        <w:t>新征程上，我们要坚持把马克思主义基本原理同中国具体实际相结合、同中华优秀传统文化相结合，科学回答中国之问、世界之问、人民之问、时代之问，不断开辟马克思主义中国化时代化新境界，始终保持马克思主义的蓬勃生机和旺盛活力。要进一步全面深化改革开放，推进国家治理体系和治理能力现代化，激发全党全社会创造活力，为经济社会发展注入源源不断的动力。</w:t>
      </w:r>
    </w:p>
    <w:p w14:paraId="1DD95E39">
      <w:pPr>
        <w:spacing w:line="480" w:lineRule="exact"/>
        <w:ind w:firstLine="480" w:firstLineChars="200"/>
        <w:rPr>
          <w:rFonts w:hint="eastAsia" w:ascii="Times New Roman" w:hAnsi="Times New Roman" w:eastAsia="方正仿宋_GBK"/>
          <w:color w:val="262626"/>
          <w:kern w:val="0"/>
          <w:sz w:val="24"/>
        </w:rPr>
      </w:pPr>
      <w:r>
        <w:rPr>
          <w:rFonts w:hint="eastAsia" w:ascii="Times New Roman" w:hAnsi="Times New Roman" w:eastAsia="方正仿宋_GBK"/>
          <w:color w:val="262626"/>
          <w:kern w:val="0"/>
          <w:sz w:val="24"/>
        </w:rPr>
        <w:t>——我们要学习江泽民同志深谋远虑的战略思维。江泽民同志目光远大、审时度势，善于从中国和世界发展大势、从党和国家工作全局出发观察和思考问题，以一系列面向世界、着眼未来的重大决策、重要举措推动党和国家事业发展。他强调：“全党同志一定要用马克思主义的宽广眼界观察世界。所谓宽广的眼界，一是要有历史的深远眼光，一是要有世界的全局眼光。”“要正确认识我国社会和当今世界发生的重大变化，正确认识广大党员、干部和人民群众工作生活条件和社会环境发生的重大变化，正确认识这些变化对我们党和国家事业发展提出的新任务、新课题、新挑战，加强对全局性、战略性、前瞻性重大理论和实践问题的研究。”他从二十一世纪头20年是我国必须紧紧抓住并且可以大有作为的重要战略机遇期这一重大判断出发，对全面建设小康社会、实现第三步战略目标进行前瞻性谋划；提出抓住机遇、深化改革、扩大开放、促进发展、保持稳定的基本方针，全面阐述正确处理社会主义现代化建设中的十二大关系；坚持把发展作为党执政兴国的第一要务，引领全党全国各族人民聚精会神搞建设、一心一意谋发展；领导我们积极发展社会主义民主政治，实施依法治国基本方略，发展社会主义先进文化；主持制定新时期军事战略方针，推进中国特色军事变革，加强人民军队革命化、现代化、正规化建设；领导实现香港、澳门顺利回归，推动两岸双方达成体现一个中国原则的“九二共识”，有力开展反分裂、反“台独”重大斗争；提出一系列外交和国际战略思想，推动世界多极化和经济全球化朝着正确方向发展。</w:t>
      </w:r>
    </w:p>
    <w:p w14:paraId="41726192">
      <w:pPr>
        <w:spacing w:line="480" w:lineRule="exact"/>
        <w:ind w:firstLine="480" w:firstLineChars="200"/>
        <w:rPr>
          <w:rFonts w:hint="eastAsia" w:ascii="Times New Roman" w:hAnsi="Times New Roman" w:eastAsia="方正仿宋_GBK"/>
          <w:color w:val="262626"/>
          <w:kern w:val="0"/>
          <w:sz w:val="24"/>
        </w:rPr>
      </w:pPr>
      <w:r>
        <w:rPr>
          <w:rFonts w:hint="eastAsia" w:ascii="Times New Roman" w:hAnsi="Times New Roman" w:eastAsia="方正仿宋_GBK"/>
          <w:color w:val="262626"/>
          <w:kern w:val="0"/>
          <w:sz w:val="24"/>
        </w:rPr>
        <w:t>新征程上，我们要统筹中华民族伟大复兴战略全局和世界百年未有之大变局，统揽伟大斗争、伟大工程、伟大事业、伟大梦想，统筹推进“五位一体”总体布局、协调推进“四个全面”战略布局，完整准确全面贯彻新发展理念，加快构建新发展格局，扎实推动高质量发展。要坚持维护世界和平、促进共同发展的外交政策宗旨，推动落实全球发展倡议、全球安全倡议、全球文明倡议、全球治理倡议，推动构建人类命运共同体，为世界和平与发展注入更多正能量。</w:t>
      </w:r>
    </w:p>
    <w:p w14:paraId="15AEE9BF">
      <w:pPr>
        <w:spacing w:line="480" w:lineRule="exact"/>
        <w:ind w:firstLine="480" w:firstLineChars="200"/>
        <w:rPr>
          <w:rFonts w:hint="eastAsia" w:ascii="Times New Roman" w:hAnsi="Times New Roman" w:eastAsia="方正仿宋_GBK"/>
          <w:color w:val="262626"/>
          <w:kern w:val="0"/>
          <w:sz w:val="24"/>
        </w:rPr>
      </w:pPr>
      <w:r>
        <w:rPr>
          <w:rFonts w:hint="eastAsia" w:ascii="Times New Roman" w:hAnsi="Times New Roman" w:eastAsia="方正仿宋_GBK"/>
          <w:color w:val="262626"/>
          <w:kern w:val="0"/>
          <w:sz w:val="24"/>
        </w:rPr>
        <w:t>——我们要学习江泽民同志坚毅果敢的非凡胆略。江泽民同志勇于在重大历史关头和关键时刻果断决策，沉着应对风险挑战，坚决克服艰难险阻，为现代化建设开辟广阔空间、营造良好环境。他指出：“要把现代化事业干成功，必须有一种不畏艰难、顽强拼搏的钢铁意志，一种坚韧不拔、敢于胜利的英雄气概。”“对于符合党的路线方针政策和中央要求的事情，看准了的，就要果断决策、雷厉风行，绝不可优柔寡断、延误时机。”他以强烈的历史担当和巨大的政治勇气，领导我们妥善处置危及国家政治大局稳定的重大隐患，从容应对一系列关系我国主权和安全的国际突发事件，战胜在政治、经济领域和自然界出现的困难和风险，特别是成功抵御亚洲金融危机冲击、夺取1998年抗洪抢险斗争全面胜利，经受住一次又一次考验，排除形形色色的干扰，保持了社会大局稳定，保证了改革开放和社会主义现代化建设的航船破浪前进、行稳致远。</w:t>
      </w:r>
    </w:p>
    <w:p w14:paraId="64ED5175">
      <w:pPr>
        <w:spacing w:line="480" w:lineRule="exact"/>
        <w:ind w:firstLine="480" w:firstLineChars="200"/>
        <w:rPr>
          <w:rFonts w:hint="eastAsia" w:ascii="Times New Roman" w:hAnsi="Times New Roman" w:eastAsia="方正仿宋_GBK"/>
          <w:color w:val="262626"/>
          <w:kern w:val="0"/>
          <w:sz w:val="24"/>
        </w:rPr>
      </w:pPr>
      <w:r>
        <w:rPr>
          <w:rFonts w:hint="eastAsia" w:ascii="Times New Roman" w:hAnsi="Times New Roman" w:eastAsia="方正仿宋_GBK"/>
          <w:color w:val="262626"/>
          <w:kern w:val="0"/>
          <w:sz w:val="24"/>
        </w:rPr>
        <w:t>新征程上，我们要强化忧患意识，树立底线思维，更好统筹发展和安全，以顽强的斗争精神、高超的斗争本领积极应对风高浪急甚至惊涛骇浪的重大考验，坚决捍卫国家主权、安全、发展利益，续写经济快速发展和社会长期稳定两大奇迹新篇章。</w:t>
      </w:r>
    </w:p>
    <w:p w14:paraId="632A6A0C">
      <w:pPr>
        <w:spacing w:line="480" w:lineRule="exact"/>
        <w:ind w:firstLine="480" w:firstLineChars="200"/>
        <w:rPr>
          <w:rFonts w:hint="eastAsia" w:ascii="Times New Roman" w:hAnsi="Times New Roman" w:eastAsia="方正仿宋_GBK"/>
          <w:color w:val="262626"/>
          <w:kern w:val="0"/>
          <w:sz w:val="24"/>
        </w:rPr>
      </w:pPr>
      <w:r>
        <w:rPr>
          <w:rFonts w:hint="eastAsia" w:ascii="Times New Roman" w:hAnsi="Times New Roman" w:eastAsia="方正仿宋_GBK"/>
          <w:color w:val="262626"/>
          <w:kern w:val="0"/>
          <w:sz w:val="24"/>
        </w:rPr>
        <w:t>同志们、朋友们！</w:t>
      </w:r>
    </w:p>
    <w:p w14:paraId="45833723">
      <w:pPr>
        <w:spacing w:line="480" w:lineRule="exact"/>
        <w:ind w:firstLine="480" w:firstLineChars="200"/>
        <w:rPr>
          <w:rFonts w:hint="eastAsia" w:ascii="Times New Roman" w:hAnsi="Times New Roman" w:eastAsia="方正仿宋_GBK"/>
          <w:color w:val="262626"/>
          <w:kern w:val="0"/>
          <w:sz w:val="24"/>
        </w:rPr>
      </w:pPr>
      <w:r>
        <w:rPr>
          <w:rFonts w:hint="eastAsia" w:ascii="Times New Roman" w:hAnsi="Times New Roman" w:eastAsia="方正仿宋_GBK"/>
          <w:color w:val="262626"/>
          <w:kern w:val="0"/>
          <w:sz w:val="24"/>
        </w:rPr>
        <w:t>江泽民同志曾经充满自信地展望：“在新世纪里，中国人民将坚定不移地沿着建设有中国特色社会主义道路继续前进，中国社会主义制度将经过不断改革而更加巩固和完善，中国的发展将通过各个地区的共同进步达到普遍繁荣，中华民族将在完成祖国统一和建立富强民主文明的社会主义现代化国家的基础上实现伟大的复兴！”今天，我们可以无比自豪地说，经过长期努力，党和国家事业兴旺发达，神州大地安定祥和，人民生活持续改善，实现中华民族伟大复兴前景光明，几代人矢志奋斗的梦想正在一步步成为现实。</w:t>
      </w:r>
    </w:p>
    <w:p w14:paraId="25540419">
      <w:pPr>
        <w:spacing w:line="480" w:lineRule="exact"/>
        <w:ind w:firstLine="480" w:firstLineChars="200"/>
        <w:rPr>
          <w:rFonts w:ascii="Times New Roman" w:hAnsi="Times New Roman" w:eastAsia="方正仿宋_GBK"/>
          <w:color w:val="262626"/>
          <w:kern w:val="0"/>
          <w:sz w:val="24"/>
        </w:rPr>
      </w:pPr>
      <w:r>
        <w:rPr>
          <w:rFonts w:hint="eastAsia" w:ascii="Times New Roman" w:hAnsi="Times New Roman" w:eastAsia="方正仿宋_GBK"/>
          <w:color w:val="262626"/>
          <w:kern w:val="0"/>
          <w:sz w:val="24"/>
        </w:rPr>
        <w:t>“历尽天华成此景，人间万事出艰辛。”这是江泽民同志以豪迈诗句对奋斗的诠释。全党全军全国各族人民要更加紧密地团结在党中央周围，高举中国特色社会主义伟大旗帜，坚定信心、奋发图强，为以中国式现代化全面推进强国建设、民族复兴伟业而不懈奋斗，不断创造中国人民更加美好的生活，书写中华民族更加壮丽的华章！</w:t>
      </w:r>
      <w:r>
        <w:rPr>
          <w:rFonts w:ascii="Times New Roman" w:hAnsi="Times New Roman" w:eastAsia="方正仿宋_GBK"/>
          <w:color w:val="262626"/>
          <w:kern w:val="0"/>
          <w:sz w:val="24"/>
        </w:rPr>
        <w:br w:type="page"/>
      </w:r>
    </w:p>
    <w:p w14:paraId="00873B2A">
      <w:pPr>
        <w:spacing w:line="480" w:lineRule="exact"/>
        <w:jc w:val="left"/>
        <w:rPr>
          <w:rFonts w:ascii="Times New Roman" w:hAnsi="Times New Roman" w:eastAsia="方正黑体_GBK"/>
          <w:sz w:val="32"/>
          <w:szCs w:val="32"/>
        </w:rPr>
      </w:pPr>
      <w:r>
        <w:rPr>
          <w:rFonts w:ascii="Times New Roman" w:hAnsi="Times New Roman" w:eastAsia="方正黑体_GBK"/>
          <w:sz w:val="32"/>
          <w:szCs w:val="32"/>
        </w:rPr>
        <w:t>附件2</w:t>
      </w:r>
    </w:p>
    <w:p w14:paraId="5EF57107">
      <w:pPr>
        <w:widowControl/>
        <w:spacing w:line="480" w:lineRule="exact"/>
        <w:jc w:val="center"/>
        <w:rPr>
          <w:rFonts w:ascii="Times New Roman" w:hAnsi="Times New Roman" w:eastAsia="方正小标宋_GBK"/>
          <w:color w:val="000000"/>
          <w:kern w:val="0"/>
          <w:sz w:val="36"/>
          <w:szCs w:val="36"/>
        </w:rPr>
      </w:pPr>
    </w:p>
    <w:p w14:paraId="08FE1149">
      <w:pPr>
        <w:widowControl/>
        <w:spacing w:line="480" w:lineRule="exact"/>
        <w:jc w:val="center"/>
        <w:rPr>
          <w:rFonts w:ascii="Times New Roman" w:hAnsi="Times New Roman" w:eastAsia="方正小标宋_GBK"/>
          <w:color w:val="000000"/>
          <w:kern w:val="0"/>
          <w:sz w:val="36"/>
          <w:szCs w:val="36"/>
        </w:rPr>
      </w:pPr>
      <w:r>
        <w:rPr>
          <w:rFonts w:hint="eastAsia" w:ascii="Times New Roman" w:hAnsi="Times New Roman" w:eastAsia="方正小标宋_GBK"/>
          <w:color w:val="000000"/>
          <w:spacing w:val="-20"/>
          <w:kern w:val="0"/>
          <w:sz w:val="36"/>
          <w:szCs w:val="36"/>
        </w:rPr>
        <w:t>习近平：在国家科学技术奖励大会、两院院士大会、中国科协第十一次全国代表大会上的讲话</w:t>
      </w:r>
    </w:p>
    <w:p w14:paraId="15E9C024">
      <w:pPr>
        <w:widowControl/>
        <w:spacing w:line="480" w:lineRule="exact"/>
        <w:jc w:val="center"/>
        <w:rPr>
          <w:rFonts w:ascii="方正楷体_GBK" w:hAnsi="Times New Roman" w:eastAsia="方正楷体_GBK"/>
          <w:b/>
          <w:sz w:val="24"/>
        </w:rPr>
      </w:pPr>
      <w:r>
        <w:rPr>
          <w:rFonts w:hint="eastAsia" w:ascii="方正楷体_GBK" w:hAnsi="Times New Roman" w:eastAsia="方正楷体_GBK"/>
          <w:b/>
          <w:sz w:val="24"/>
        </w:rPr>
        <w:t xml:space="preserve">（来源：“学习强国”学习平台 </w:t>
      </w:r>
      <w:r>
        <w:rPr>
          <w:rFonts w:ascii="方正楷体_GBK" w:hAnsi="Times New Roman" w:eastAsia="方正楷体_GBK"/>
          <w:b/>
          <w:sz w:val="24"/>
        </w:rPr>
        <w:t xml:space="preserve">     </w:t>
      </w:r>
      <w:r>
        <w:rPr>
          <w:rFonts w:hint="eastAsia" w:ascii="方正楷体_GBK" w:hAnsi="Times New Roman" w:eastAsia="方正楷体_GBK"/>
          <w:b/>
          <w:sz w:val="24"/>
        </w:rPr>
        <w:t>发布时间：202</w:t>
      </w:r>
      <w:r>
        <w:rPr>
          <w:rFonts w:ascii="方正楷体_GBK" w:hAnsi="Times New Roman" w:eastAsia="方正楷体_GBK"/>
          <w:b/>
          <w:sz w:val="24"/>
        </w:rPr>
        <w:t>6</w:t>
      </w:r>
      <w:r>
        <w:rPr>
          <w:rFonts w:hint="eastAsia" w:ascii="方正楷体_GBK" w:hAnsi="Times New Roman" w:eastAsia="方正楷体_GBK"/>
          <w:b/>
          <w:sz w:val="24"/>
        </w:rPr>
        <w:t>-</w:t>
      </w:r>
      <w:r>
        <w:rPr>
          <w:rFonts w:ascii="方正楷体_GBK" w:hAnsi="Times New Roman" w:eastAsia="方正楷体_GBK"/>
          <w:b/>
          <w:sz w:val="24"/>
        </w:rPr>
        <w:t>0</w:t>
      </w:r>
      <w:r>
        <w:rPr>
          <w:rFonts w:hint="eastAsia" w:ascii="方正楷体_GBK" w:hAnsi="Times New Roman" w:eastAsia="方正楷体_GBK"/>
          <w:b/>
          <w:sz w:val="24"/>
          <w:lang w:val="en-US" w:eastAsia="zh-CN"/>
        </w:rPr>
        <w:t>7</w:t>
      </w:r>
      <w:r>
        <w:rPr>
          <w:rFonts w:ascii="方正楷体_GBK" w:hAnsi="Times New Roman" w:eastAsia="方正楷体_GBK"/>
          <w:b/>
          <w:sz w:val="24"/>
        </w:rPr>
        <w:t>-</w:t>
      </w:r>
      <w:r>
        <w:rPr>
          <w:rFonts w:hint="eastAsia" w:ascii="方正楷体_GBK" w:hAnsi="Times New Roman" w:eastAsia="方正楷体_GBK"/>
          <w:b/>
          <w:sz w:val="24"/>
          <w:lang w:val="en-US" w:eastAsia="zh-CN"/>
        </w:rPr>
        <w:t>0</w:t>
      </w:r>
      <w:r>
        <w:rPr>
          <w:rFonts w:ascii="方正楷体_GBK" w:hAnsi="Times New Roman" w:eastAsia="方正楷体_GBK"/>
          <w:b/>
          <w:sz w:val="24"/>
        </w:rPr>
        <w:t>8</w:t>
      </w:r>
      <w:r>
        <w:rPr>
          <w:rFonts w:hint="eastAsia" w:ascii="方正楷体_GBK" w:hAnsi="Times New Roman" w:eastAsia="方正楷体_GBK"/>
          <w:b/>
          <w:sz w:val="24"/>
        </w:rPr>
        <w:t>）</w:t>
      </w:r>
    </w:p>
    <w:p w14:paraId="437CD568">
      <w:pPr>
        <w:spacing w:line="480" w:lineRule="exact"/>
        <w:ind w:firstLine="480" w:firstLineChars="200"/>
        <w:rPr>
          <w:rFonts w:ascii="Times New Roman" w:hAnsi="Times New Roman" w:eastAsia="方正仿宋_GBK"/>
          <w:color w:val="262626"/>
          <w:kern w:val="0"/>
          <w:sz w:val="24"/>
        </w:rPr>
      </w:pPr>
    </w:p>
    <w:p w14:paraId="64266FD0">
      <w:pPr>
        <w:spacing w:line="480" w:lineRule="exact"/>
        <w:rPr>
          <w:rFonts w:hint="eastAsia" w:ascii="Times New Roman" w:hAnsi="Times New Roman" w:eastAsia="方正仿宋_GBK"/>
          <w:color w:val="262626"/>
          <w:kern w:val="0"/>
          <w:sz w:val="24"/>
        </w:rPr>
      </w:pPr>
      <w:r>
        <w:rPr>
          <w:rFonts w:hint="eastAsia" w:ascii="Times New Roman" w:hAnsi="Times New Roman" w:eastAsia="方正仿宋_GBK"/>
          <w:color w:val="262626"/>
          <w:kern w:val="0"/>
          <w:sz w:val="24"/>
        </w:rPr>
        <w:t>各位院士，同志们、朋友们：</w:t>
      </w:r>
    </w:p>
    <w:p w14:paraId="3AFB4B6B">
      <w:pPr>
        <w:spacing w:line="480" w:lineRule="exact"/>
        <w:ind w:firstLine="480" w:firstLineChars="200"/>
        <w:rPr>
          <w:rFonts w:hint="eastAsia" w:ascii="Times New Roman" w:hAnsi="Times New Roman" w:eastAsia="方正仿宋_GBK"/>
          <w:color w:val="262626"/>
          <w:kern w:val="0"/>
          <w:sz w:val="24"/>
          <w:lang w:eastAsia="zh-CN"/>
        </w:rPr>
      </w:pPr>
      <w:r>
        <w:rPr>
          <w:rFonts w:hint="eastAsia" w:ascii="Times New Roman" w:hAnsi="Times New Roman" w:eastAsia="方正仿宋_GBK"/>
          <w:color w:val="262626"/>
          <w:kern w:val="0"/>
          <w:sz w:val="24"/>
        </w:rPr>
        <w:t>今天，国家科学技术奖励大会、两院院士大会、中国科协第十一次全国代表大会隆重开幕了，这是在“十五五”开局之年召开的一次科技盛会。首先，我代表党中央，向获得2025年度国家科学技术奖励的集体和个人表示衷心祝贺！向两院院士和全国广大科技工作者致以诚挚问候！向与会的外籍院士和国际科学界的朋友们表示热烈欢迎！</w:t>
      </w:r>
    </w:p>
    <w:p w14:paraId="36B198B6">
      <w:pPr>
        <w:spacing w:line="480" w:lineRule="exact"/>
        <w:ind w:firstLine="480" w:firstLineChars="200"/>
        <w:rPr>
          <w:rFonts w:hint="eastAsia" w:ascii="Times New Roman" w:hAnsi="Times New Roman" w:eastAsia="方正仿宋_GBK"/>
          <w:color w:val="262626"/>
          <w:kern w:val="0"/>
          <w:sz w:val="24"/>
          <w:lang w:eastAsia="zh-CN"/>
        </w:rPr>
      </w:pPr>
      <w:r>
        <w:rPr>
          <w:rFonts w:hint="eastAsia" w:ascii="Times New Roman" w:hAnsi="Times New Roman" w:eastAsia="方正仿宋_GBK"/>
          <w:color w:val="262626"/>
          <w:kern w:val="0"/>
          <w:sz w:val="24"/>
        </w:rPr>
        <w:t>党的十八大以来，党中央把科技创新摆在现代化建设突出位置，系统擘画科技强国建设蓝图，深入推动实施创新驱动发展战略，全面深化科技体制改革，推动科技事业取得历史性成就、发生历史性变革。我国正从全球科技参与者、贡献者向开拓者、引领者加速转变，成为创新力上升最快的国家之一。</w:t>
      </w:r>
    </w:p>
    <w:p w14:paraId="1AAD4CDD">
      <w:pPr>
        <w:spacing w:line="480" w:lineRule="exact"/>
        <w:ind w:firstLine="480" w:firstLineChars="200"/>
        <w:rPr>
          <w:rFonts w:hint="eastAsia" w:ascii="Times New Roman" w:hAnsi="Times New Roman" w:eastAsia="方正仿宋_GBK"/>
          <w:color w:val="262626"/>
          <w:kern w:val="0"/>
          <w:sz w:val="24"/>
          <w:lang w:eastAsia="zh-CN"/>
        </w:rPr>
      </w:pPr>
      <w:r>
        <w:rPr>
          <w:rFonts w:hint="eastAsia" w:ascii="Times New Roman" w:hAnsi="Times New Roman" w:eastAsia="方正仿宋_GBK"/>
          <w:color w:val="262626"/>
          <w:kern w:val="0"/>
          <w:sz w:val="24"/>
        </w:rPr>
        <w:t>2024年6月全国科技大会之后，我国科技事业又取得一系列新成就。比如，人工智能、量子科技、生命科学、物质科学等领域重大原创成果不断涌现，“嫦娥六号”实现人类首次月球背面采样返回，智能机器人、无人机等科技攻关和产业发展亮点纷呈，创新药物实现从模仿、跟进开发到首创的跨越，农作物自主选育品种面积超过95%，等等。这些成就反映出我国科技进步日新月异，令人鼓舞和自豪！</w:t>
      </w:r>
    </w:p>
    <w:p w14:paraId="37C161F2">
      <w:pPr>
        <w:spacing w:line="480" w:lineRule="exact"/>
        <w:ind w:firstLine="480" w:firstLineChars="200"/>
        <w:rPr>
          <w:rFonts w:hint="eastAsia" w:ascii="Times New Roman" w:hAnsi="Times New Roman" w:eastAsia="方正仿宋_GBK"/>
          <w:color w:val="262626"/>
          <w:kern w:val="0"/>
          <w:sz w:val="24"/>
          <w:lang w:eastAsia="zh-CN"/>
        </w:rPr>
      </w:pPr>
      <w:r>
        <w:rPr>
          <w:rFonts w:hint="eastAsia" w:ascii="Times New Roman" w:hAnsi="Times New Roman" w:eastAsia="方正仿宋_GBK"/>
          <w:color w:val="262626"/>
          <w:kern w:val="0"/>
          <w:sz w:val="24"/>
        </w:rPr>
        <w:t>同时，要清醒地看到，我国科技发展中还存在一些领域原始创新能力不足、人才队伍结构不够合理、科技投入效能不高等问题，科技工作在思想认识、体制机制等方面也有一些卡点堵点。我们要高度重视，采取更加有力的措施加以解决。</w:t>
      </w:r>
    </w:p>
    <w:p w14:paraId="2ECB5B70">
      <w:pPr>
        <w:spacing w:line="480" w:lineRule="exact"/>
        <w:ind w:firstLine="480" w:firstLineChars="200"/>
        <w:rPr>
          <w:rFonts w:hint="eastAsia" w:ascii="Times New Roman" w:hAnsi="Times New Roman" w:eastAsia="方正仿宋_GBK"/>
          <w:color w:val="262626"/>
          <w:kern w:val="0"/>
          <w:sz w:val="24"/>
          <w:lang w:eastAsia="zh-CN"/>
        </w:rPr>
      </w:pPr>
      <w:r>
        <w:rPr>
          <w:rFonts w:hint="eastAsia" w:ascii="Times New Roman" w:hAnsi="Times New Roman" w:eastAsia="方正仿宋_GBK"/>
          <w:color w:val="262626"/>
          <w:kern w:val="0"/>
          <w:sz w:val="24"/>
        </w:rPr>
        <w:t>各位院士，同志们、朋友们！</w:t>
      </w:r>
    </w:p>
    <w:p w14:paraId="55316233">
      <w:pPr>
        <w:spacing w:line="480" w:lineRule="exact"/>
        <w:ind w:firstLine="480" w:firstLineChars="200"/>
        <w:rPr>
          <w:rFonts w:hint="eastAsia" w:ascii="Times New Roman" w:hAnsi="Times New Roman" w:eastAsia="方正仿宋_GBK"/>
          <w:color w:val="262626"/>
          <w:kern w:val="0"/>
          <w:sz w:val="24"/>
          <w:lang w:eastAsia="zh-CN"/>
        </w:rPr>
      </w:pPr>
      <w:r>
        <w:rPr>
          <w:rFonts w:hint="eastAsia" w:ascii="Times New Roman" w:hAnsi="Times New Roman" w:eastAsia="方正仿宋_GBK"/>
          <w:color w:val="262626"/>
          <w:kern w:val="0"/>
          <w:sz w:val="24"/>
        </w:rPr>
        <w:t>科技创新是人类文明进步的不竭动力，新一轮科技革命和产业变革深刻改变人类生产生活方式和世界发展格局，科技实力和创新能力越来越成为国家的核心竞争力。当前，人工智能蓬勃兴起，以数据、算力、算法等为关键要素，以神经科学、认知科学、计算科学、数学等理论突破和学科交叉为基础，以智能前沿技术群体性突破和广泛渗透赋能为标志，呈现数据驱动、万物互联、人机协同、跨界融合等显著特征。形势催人，也逼人。我们必须抓住历史机遇，迎接时代挑战，加快推进高水平科技自立自强，向着到2035年建成科技强国的目标坚定迈进，扎扎实实以科技创新支撑和引领中国式现代化。</w:t>
      </w:r>
    </w:p>
    <w:p w14:paraId="09ACF622">
      <w:pPr>
        <w:spacing w:line="480" w:lineRule="exact"/>
        <w:ind w:firstLine="480" w:firstLineChars="200"/>
        <w:rPr>
          <w:rFonts w:hint="eastAsia" w:ascii="Times New Roman" w:hAnsi="Times New Roman" w:eastAsia="方正仿宋_GBK"/>
          <w:color w:val="262626"/>
          <w:kern w:val="0"/>
          <w:sz w:val="24"/>
          <w:lang w:eastAsia="zh-CN"/>
        </w:rPr>
      </w:pPr>
      <w:r>
        <w:rPr>
          <w:rFonts w:hint="eastAsia" w:ascii="Times New Roman" w:hAnsi="Times New Roman" w:eastAsia="方正仿宋_GBK"/>
          <w:color w:val="262626"/>
          <w:kern w:val="0"/>
          <w:sz w:val="24"/>
        </w:rPr>
        <w:t>“十五五”时期是科技强国建设的关键攻坚期，要全力抓好党中央关于科技事业各项部署的落实。这里，我强调6点。</w:t>
      </w:r>
    </w:p>
    <w:p w14:paraId="0994480E">
      <w:pPr>
        <w:spacing w:line="480" w:lineRule="exact"/>
        <w:ind w:firstLine="480" w:firstLineChars="200"/>
        <w:rPr>
          <w:rFonts w:hint="eastAsia" w:ascii="Times New Roman" w:hAnsi="Times New Roman" w:eastAsia="方正仿宋_GBK"/>
          <w:color w:val="262626"/>
          <w:kern w:val="0"/>
          <w:sz w:val="24"/>
          <w:lang w:eastAsia="zh-CN"/>
        </w:rPr>
      </w:pPr>
      <w:r>
        <w:rPr>
          <w:rFonts w:hint="eastAsia" w:ascii="Times New Roman" w:hAnsi="Times New Roman" w:eastAsia="方正仿宋_GBK"/>
          <w:color w:val="262626"/>
          <w:kern w:val="0"/>
          <w:sz w:val="24"/>
        </w:rPr>
        <w:t>第一，增强科技创新体系化攻关能力。科技创新涉及领域、主体、要素多，是一个庞大的系统。这些年，我们发挥新型举国体制优势，整合资源力量，在体系化攻关上积累了不少经验。要坚持“四个面向”战略导向，进一步加强科技战略规划、政策措施、重大任务、科研力量、资源平台、区域创新等方面统筹，提高科技攻关组织化程度，提升国家创新体系整体效能。</w:t>
      </w:r>
    </w:p>
    <w:p w14:paraId="2FE587A1">
      <w:pPr>
        <w:spacing w:line="480" w:lineRule="exact"/>
        <w:ind w:firstLine="480" w:firstLineChars="200"/>
        <w:rPr>
          <w:rFonts w:hint="eastAsia" w:ascii="Times New Roman" w:hAnsi="Times New Roman" w:eastAsia="方正仿宋_GBK"/>
          <w:color w:val="262626"/>
          <w:kern w:val="0"/>
          <w:sz w:val="24"/>
          <w:lang w:eastAsia="zh-CN"/>
        </w:rPr>
      </w:pPr>
      <w:r>
        <w:rPr>
          <w:rFonts w:hint="eastAsia" w:ascii="Times New Roman" w:hAnsi="Times New Roman" w:eastAsia="方正仿宋_GBK"/>
          <w:color w:val="262626"/>
          <w:kern w:val="0"/>
          <w:sz w:val="24"/>
        </w:rPr>
        <w:t>在科研任务推进上，重点要完善国家重大科技创新任务部署和组织实施机制，聚焦人工智能、量子科技、生命科学等前沿领域，集成电路、先进制造等重点领域，深海、深空、深地等战略领域，一体部署重大工程和重大项目，统筹推进原始创新和关键核心技术攻关。要前瞻布局建设重大科技基础设施，强化高端科研仪器、科学数据、科技期刊等基础条件自主保障，推进人工智能赋能科学研究。</w:t>
      </w:r>
    </w:p>
    <w:p w14:paraId="27301431">
      <w:pPr>
        <w:spacing w:line="480" w:lineRule="exact"/>
        <w:ind w:firstLine="480" w:firstLineChars="200"/>
        <w:rPr>
          <w:rFonts w:hint="eastAsia" w:ascii="Times New Roman" w:hAnsi="Times New Roman" w:eastAsia="方正仿宋_GBK"/>
          <w:color w:val="262626"/>
          <w:kern w:val="0"/>
          <w:sz w:val="24"/>
          <w:lang w:eastAsia="zh-CN"/>
        </w:rPr>
      </w:pPr>
      <w:r>
        <w:rPr>
          <w:rFonts w:hint="eastAsia" w:ascii="Times New Roman" w:hAnsi="Times New Roman" w:eastAsia="方正仿宋_GBK"/>
          <w:color w:val="262626"/>
          <w:kern w:val="0"/>
          <w:sz w:val="24"/>
        </w:rPr>
        <w:t>在科技力量建设上，重点要优化国家战略科技力量功能定位和布局，推动任务协同、资源共享、优势互补，使其更好担当国家战略使命、产出更多重大战略成果。要支持国家战略科技力量与其他科技力量合作攻关，统筹配置科研任务、平台基地、关键人才，形成覆盖基础研究、应用开发、成果转化的体系化攻关格局。</w:t>
      </w:r>
    </w:p>
    <w:p w14:paraId="5DF44500">
      <w:pPr>
        <w:spacing w:line="480" w:lineRule="exact"/>
        <w:ind w:firstLine="480" w:firstLineChars="200"/>
        <w:rPr>
          <w:rFonts w:hint="eastAsia" w:ascii="Times New Roman" w:hAnsi="Times New Roman" w:eastAsia="方正仿宋_GBK"/>
          <w:color w:val="262626"/>
          <w:kern w:val="0"/>
          <w:sz w:val="24"/>
          <w:lang w:eastAsia="zh-CN"/>
        </w:rPr>
      </w:pPr>
      <w:r>
        <w:rPr>
          <w:rFonts w:hint="eastAsia" w:ascii="Times New Roman" w:hAnsi="Times New Roman" w:eastAsia="方正仿宋_GBK"/>
          <w:color w:val="262626"/>
          <w:kern w:val="0"/>
          <w:sz w:val="24"/>
        </w:rPr>
        <w:t>在科技创新联动上，重点要加强对各层级科技工作的统筹指导，形成央地协同、区域联动的制度安排，统筹建设国际科技创新中心和区域科技创新中心，强化区域协同创新。各地区情况不同，要因地制宜探索创新发展路径，确立比较优势，打造特色创新高地，不能盲目跟风追热点，搞“内卷式”竞争、同质化发展。</w:t>
      </w:r>
    </w:p>
    <w:p w14:paraId="672D2272">
      <w:pPr>
        <w:spacing w:line="480" w:lineRule="exact"/>
        <w:ind w:firstLine="480" w:firstLineChars="200"/>
        <w:rPr>
          <w:rFonts w:hint="eastAsia" w:ascii="Times New Roman" w:hAnsi="Times New Roman" w:eastAsia="方正仿宋_GBK"/>
          <w:color w:val="262626"/>
          <w:kern w:val="0"/>
          <w:sz w:val="24"/>
          <w:lang w:eastAsia="zh-CN"/>
        </w:rPr>
      </w:pPr>
      <w:r>
        <w:rPr>
          <w:rFonts w:hint="eastAsia" w:ascii="Times New Roman" w:hAnsi="Times New Roman" w:eastAsia="方正仿宋_GBK"/>
          <w:color w:val="262626"/>
          <w:kern w:val="0"/>
          <w:sz w:val="24"/>
        </w:rPr>
        <w:t>第二，推动科技创新和产业创新深度融合。这是以高水平科技自立自强引领发展新质生产力的关键。要突出科技创新供给和产业需求牵引，推动产学研融通创新，打通科技加速向现实生产力转化的通道。科技创新要突出应用导向，支持高校、科研院所对接企业开展科研攻关和人才培养，以高质量科技供给赋能产业创新。产业创新要提出科学问题，强化企业创新主体地位，支持企业与高校、科研院所共建平台、共克难题，以高端化、绿色化、智能化产业需求牵引科技创新。</w:t>
      </w:r>
    </w:p>
    <w:p w14:paraId="19E27F15">
      <w:pPr>
        <w:spacing w:line="480" w:lineRule="exact"/>
        <w:ind w:firstLine="480" w:firstLineChars="200"/>
        <w:rPr>
          <w:rFonts w:hint="eastAsia" w:ascii="Times New Roman" w:hAnsi="Times New Roman" w:eastAsia="方正仿宋_GBK"/>
          <w:color w:val="262626"/>
          <w:kern w:val="0"/>
          <w:sz w:val="24"/>
          <w:lang w:eastAsia="zh-CN"/>
        </w:rPr>
      </w:pPr>
      <w:r>
        <w:rPr>
          <w:rFonts w:hint="eastAsia" w:ascii="Times New Roman" w:hAnsi="Times New Roman" w:eastAsia="方正仿宋_GBK"/>
          <w:color w:val="262626"/>
          <w:kern w:val="0"/>
          <w:sz w:val="24"/>
        </w:rPr>
        <w:t>科技成果转化率不高，一直是我们面临的一个突出问题。要加强国家技术转移体系建设，布局建立一批概念验证中心和中试平台，破解制约早期科技成果转化的瓶颈。打造多元化应用场景和高水平产业集群，综合运用财政、货币、科技、产业政策，促进自主研发技术产品推广应用和迭代升级。要完善知识产权保护制度，打破高校、科研院所、企业之间创新要素的流动壁垒。要构建同科技创新相适应的科技金融体制，推动创业投资市场健康稳定发展，畅通企业投融资渠道，引导金融资本投早、投小、投长期、投硬科技。</w:t>
      </w:r>
    </w:p>
    <w:p w14:paraId="09941057">
      <w:pPr>
        <w:spacing w:line="480" w:lineRule="exact"/>
        <w:ind w:firstLine="480" w:firstLineChars="200"/>
        <w:rPr>
          <w:rFonts w:hint="eastAsia" w:ascii="Times New Roman" w:hAnsi="Times New Roman" w:eastAsia="方正仿宋_GBK"/>
          <w:color w:val="262626"/>
          <w:kern w:val="0"/>
          <w:sz w:val="24"/>
          <w:lang w:eastAsia="zh-CN"/>
        </w:rPr>
      </w:pPr>
      <w:r>
        <w:rPr>
          <w:rFonts w:hint="eastAsia" w:ascii="Times New Roman" w:hAnsi="Times New Roman" w:eastAsia="方正仿宋_GBK"/>
          <w:color w:val="262626"/>
          <w:kern w:val="0"/>
          <w:sz w:val="24"/>
        </w:rPr>
        <w:t>第三，大力培养优秀青年科技人才。科学的未来在青年。我们高兴地看到，越来越多的青年科技人才脱颖而出、勇挑重担。要把青年科技人才队伍建设作为一项战略工程，全方位做好培养、引进、使用工作。</w:t>
      </w:r>
    </w:p>
    <w:p w14:paraId="541CCCE8">
      <w:pPr>
        <w:spacing w:line="480" w:lineRule="exact"/>
        <w:ind w:firstLine="480" w:firstLineChars="200"/>
        <w:rPr>
          <w:rFonts w:hint="eastAsia" w:ascii="Times New Roman" w:hAnsi="Times New Roman" w:eastAsia="方正仿宋_GBK"/>
          <w:color w:val="262626"/>
          <w:kern w:val="0"/>
          <w:sz w:val="24"/>
          <w:lang w:eastAsia="zh-CN"/>
        </w:rPr>
      </w:pPr>
      <w:r>
        <w:rPr>
          <w:rFonts w:hint="eastAsia" w:ascii="Times New Roman" w:hAnsi="Times New Roman" w:eastAsia="方正仿宋_GBK"/>
          <w:color w:val="262626"/>
          <w:kern w:val="0"/>
          <w:sz w:val="24"/>
        </w:rPr>
        <w:t>一体推进教育科技人才发展，是我们在实践中摸索总结的成功经验。要优化科教协同育人机制，坚持在培养中使用、在使用中培养，注重在科研一线发现和培养更多优秀青年科技人才。加大对科研人员职业早期和长周期稳定支持力度，完善科技奖励、收入分配等制度，帮助解决实际困难，让他们潜心钻研、安身安心安业。要抓住全球人才流动窗口期，积极引进海外优秀青年人才和团队。要注重挖掘和培养青少年兴趣特长、科学素养、实验能力，吸引更多具有科研潜质的青少年立志投身科技事业。青年科技人才成长离不开前辈科学家的支持和鼓励，两院院士要带头甘为人梯、奖掖后学，用心用情做好传帮带工作。</w:t>
      </w:r>
    </w:p>
    <w:p w14:paraId="199D11BB">
      <w:pPr>
        <w:spacing w:line="480" w:lineRule="exact"/>
        <w:ind w:firstLine="480" w:firstLineChars="200"/>
        <w:rPr>
          <w:rFonts w:hint="eastAsia" w:ascii="Times New Roman" w:hAnsi="Times New Roman" w:eastAsia="方正仿宋_GBK"/>
          <w:color w:val="262626"/>
          <w:kern w:val="0"/>
          <w:sz w:val="24"/>
          <w:lang w:eastAsia="zh-CN"/>
        </w:rPr>
      </w:pPr>
      <w:r>
        <w:rPr>
          <w:rFonts w:hint="eastAsia" w:ascii="Times New Roman" w:hAnsi="Times New Roman" w:eastAsia="方正仿宋_GBK"/>
          <w:color w:val="262626"/>
          <w:kern w:val="0"/>
          <w:sz w:val="24"/>
        </w:rPr>
        <w:t>第四，提高科技创新投入效能。“十四五”时期，我国全社会研发经费投入保持年均10%的增长，投入强度2025年达到2.8%、首次超过经合组织国家平均水平，这实属不易，充分体现了党和国家发展科技事业的坚定决心。同时，实际工作中科研经费浪费、科技投入低效重复等问题也不同程度存在。各级各有关方面要完善制度机制，改进管理办法，确保真金白银既投到位、更用得好，实现投入规模增加与效能提升的统一。</w:t>
      </w:r>
    </w:p>
    <w:p w14:paraId="47390BAD">
      <w:pPr>
        <w:spacing w:line="480" w:lineRule="exact"/>
        <w:ind w:firstLine="480" w:firstLineChars="200"/>
        <w:rPr>
          <w:rFonts w:hint="eastAsia" w:ascii="Times New Roman" w:hAnsi="Times New Roman" w:eastAsia="方正仿宋_GBK"/>
          <w:color w:val="262626"/>
          <w:kern w:val="0"/>
          <w:sz w:val="24"/>
          <w:lang w:eastAsia="zh-CN"/>
        </w:rPr>
      </w:pPr>
      <w:r>
        <w:rPr>
          <w:rFonts w:hint="eastAsia" w:ascii="Times New Roman" w:hAnsi="Times New Roman" w:eastAsia="方正仿宋_GBK"/>
          <w:color w:val="262626"/>
          <w:kern w:val="0"/>
          <w:sz w:val="24"/>
        </w:rPr>
        <w:t>财政经费在科技投入中具有风向标作用。要完善中央财政科技经费分配和管理使用机制，重点向战略性、关键性领域倾斜；健全重大科技任务央地投入共担机制，合理配置中央和地方财政资金，引导地方聚焦国家战略需求加大研发投入。要改进科技计划管理，加强科技项目监督检查和绩效评估，严肃查处经费管理、项目申报、设备采购中搞利益寻租等腐败行为。要引导企业增加研发投入，调动更多社会力量支持科技创新。</w:t>
      </w:r>
    </w:p>
    <w:p w14:paraId="2FD21EAC">
      <w:pPr>
        <w:spacing w:line="480" w:lineRule="exact"/>
        <w:ind w:firstLine="480" w:firstLineChars="200"/>
        <w:rPr>
          <w:rFonts w:hint="eastAsia" w:ascii="Times New Roman" w:hAnsi="Times New Roman" w:eastAsia="方正仿宋_GBK"/>
          <w:color w:val="262626"/>
          <w:kern w:val="0"/>
          <w:sz w:val="24"/>
          <w:lang w:eastAsia="zh-CN"/>
        </w:rPr>
      </w:pPr>
      <w:r>
        <w:rPr>
          <w:rFonts w:hint="eastAsia" w:ascii="Times New Roman" w:hAnsi="Times New Roman" w:eastAsia="方正仿宋_GBK"/>
          <w:color w:val="262626"/>
          <w:kern w:val="0"/>
          <w:sz w:val="24"/>
        </w:rPr>
        <w:t>第五，用好科技评价指挥棒。这些年我们一直在推动科技评价改革，对促进科研活动、优化创新环境发挥了积极作用，但这方面仍存在不少问题，要加快“破四唯”，有效发挥科技评价指挥棒作用。</w:t>
      </w:r>
    </w:p>
    <w:p w14:paraId="3A3A3092">
      <w:pPr>
        <w:spacing w:line="480" w:lineRule="exact"/>
        <w:ind w:firstLine="480" w:firstLineChars="200"/>
        <w:rPr>
          <w:rFonts w:hint="eastAsia" w:ascii="Times New Roman" w:hAnsi="Times New Roman" w:eastAsia="方正仿宋_GBK"/>
          <w:color w:val="262626"/>
          <w:kern w:val="0"/>
          <w:sz w:val="24"/>
          <w:lang w:eastAsia="zh-CN"/>
        </w:rPr>
      </w:pPr>
      <w:r>
        <w:rPr>
          <w:rFonts w:hint="eastAsia" w:ascii="Times New Roman" w:hAnsi="Times New Roman" w:eastAsia="方正仿宋_GBK"/>
          <w:color w:val="262626"/>
          <w:kern w:val="0"/>
          <w:sz w:val="24"/>
        </w:rPr>
        <w:t>科技评价重在按科研规律办事。项目评审、机构评估、人才评价都要强化创新能力、质量、实效、贡献导向，体现不同类别的差异性，不能评价指标权重模糊甚至本末倒置，不能搞“一刀切”、“一锅煮”。要持续深化科教界“帽子”治理，防止简单以称号头衔确定薪酬待遇、配置创新资源。要大力弘扬科学家精神，加强科研诚信建设，以更严标准、更实举措整治作风学风突出问题，严肃惩处学术不端行为，营造风清气正的科研生态。</w:t>
      </w:r>
    </w:p>
    <w:p w14:paraId="0E1F4815">
      <w:pPr>
        <w:spacing w:line="480" w:lineRule="exact"/>
        <w:ind w:firstLine="480" w:firstLineChars="200"/>
        <w:rPr>
          <w:rFonts w:hint="eastAsia" w:ascii="Times New Roman" w:hAnsi="Times New Roman" w:eastAsia="方正仿宋_GBK"/>
          <w:color w:val="262626"/>
          <w:kern w:val="0"/>
          <w:sz w:val="24"/>
          <w:lang w:eastAsia="zh-CN"/>
        </w:rPr>
      </w:pPr>
      <w:r>
        <w:rPr>
          <w:rFonts w:hint="eastAsia" w:ascii="Times New Roman" w:hAnsi="Times New Roman" w:eastAsia="方正仿宋_GBK"/>
          <w:color w:val="262626"/>
          <w:kern w:val="0"/>
          <w:sz w:val="24"/>
        </w:rPr>
        <w:t>第六，加强科技伦理和安全治理。人工智能等前沿技术加速迭代应用，“双刃剑”效应日益显现。要统筹发展和安全，密切跟踪新技术新应用发展态势，加强科技治理体系和能力建设，推动科技向上向善、安全可控、造福人民。</w:t>
      </w:r>
    </w:p>
    <w:p w14:paraId="48DFF017">
      <w:pPr>
        <w:spacing w:line="480" w:lineRule="exact"/>
        <w:ind w:firstLine="480" w:firstLineChars="200"/>
        <w:rPr>
          <w:rFonts w:hint="eastAsia" w:ascii="Times New Roman" w:hAnsi="Times New Roman" w:eastAsia="方正仿宋_GBK"/>
          <w:color w:val="262626"/>
          <w:kern w:val="0"/>
          <w:sz w:val="24"/>
          <w:lang w:eastAsia="zh-CN"/>
        </w:rPr>
      </w:pPr>
      <w:r>
        <w:rPr>
          <w:rFonts w:hint="eastAsia" w:ascii="Times New Roman" w:hAnsi="Times New Roman" w:eastAsia="方正仿宋_GBK"/>
          <w:color w:val="262626"/>
          <w:kern w:val="0"/>
          <w:sz w:val="24"/>
        </w:rPr>
        <w:t>加强科技伦理和安全治理，重点在于完善政策制度、法律法规和治理规范，健全多方参与、协同共治的体制机制。要针对人工智能、生命科学等重点领域，明确伦理标准和指引，有效应对规则冲突和伦理挑战。要加强科技安全风险研判、监测预警和应急响应，统筹高技术研发和高水平安全，提高关键部位和设施安全防护能力。要深度参与全球科技治理，广泛宣介中国主张和中国方案，提升国际规则制定话语权和影响力。</w:t>
      </w:r>
    </w:p>
    <w:p w14:paraId="533856F3">
      <w:pPr>
        <w:spacing w:line="480" w:lineRule="exact"/>
        <w:ind w:firstLine="480" w:firstLineChars="200"/>
        <w:rPr>
          <w:rFonts w:hint="eastAsia" w:ascii="Times New Roman" w:hAnsi="Times New Roman" w:eastAsia="方正仿宋_GBK"/>
          <w:color w:val="262626"/>
          <w:kern w:val="0"/>
          <w:sz w:val="24"/>
          <w:lang w:eastAsia="zh-CN"/>
        </w:rPr>
      </w:pPr>
      <w:r>
        <w:rPr>
          <w:rFonts w:hint="eastAsia" w:ascii="Times New Roman" w:hAnsi="Times New Roman" w:eastAsia="方正仿宋_GBK"/>
          <w:color w:val="262626"/>
          <w:kern w:val="0"/>
          <w:sz w:val="24"/>
        </w:rPr>
        <w:t>各位院士，同志们、朋友们！</w:t>
      </w:r>
    </w:p>
    <w:p w14:paraId="55329166">
      <w:pPr>
        <w:spacing w:line="480" w:lineRule="exact"/>
        <w:ind w:firstLine="480" w:firstLineChars="200"/>
        <w:rPr>
          <w:rFonts w:hint="eastAsia" w:ascii="Times New Roman" w:hAnsi="Times New Roman" w:eastAsia="方正仿宋_GBK"/>
          <w:color w:val="262626"/>
          <w:kern w:val="0"/>
          <w:sz w:val="24"/>
          <w:lang w:eastAsia="zh-CN"/>
        </w:rPr>
      </w:pPr>
      <w:r>
        <w:rPr>
          <w:rFonts w:hint="eastAsia" w:ascii="Times New Roman" w:hAnsi="Times New Roman" w:eastAsia="方正仿宋_GBK"/>
          <w:color w:val="262626"/>
          <w:kern w:val="0"/>
          <w:sz w:val="24"/>
        </w:rPr>
        <w:t>推动我国科技事业欣欣向荣，需要全党全社会共同努力。要坚持和加强党中央对科技工作的集中统一领导，广泛动员各方参与，凝聚起建设科技强国的强大合力。这些年每逢两院院士大会、科协全国代表大会，我都出席并讲话，目的就是动员全党全社会支持科技发展、激发创新活力。各级党委和政府要把科技工作摆上重要日程，树立和践行正确政绩观，真抓实干，久久为功，不断抓出新成效。</w:t>
      </w:r>
    </w:p>
    <w:p w14:paraId="53AE2103">
      <w:pPr>
        <w:spacing w:line="480" w:lineRule="exact"/>
        <w:ind w:firstLine="480" w:firstLineChars="200"/>
        <w:rPr>
          <w:rFonts w:hint="eastAsia" w:ascii="Times New Roman" w:hAnsi="Times New Roman" w:eastAsia="方正仿宋_GBK"/>
          <w:color w:val="262626"/>
          <w:kern w:val="0"/>
          <w:sz w:val="24"/>
          <w:lang w:eastAsia="zh-CN"/>
        </w:rPr>
      </w:pPr>
      <w:r>
        <w:rPr>
          <w:rFonts w:hint="eastAsia" w:ascii="Times New Roman" w:hAnsi="Times New Roman" w:eastAsia="方正仿宋_GBK"/>
          <w:color w:val="262626"/>
          <w:kern w:val="0"/>
          <w:sz w:val="24"/>
        </w:rPr>
        <w:t>中国科学院、中国工程院作为我国科学技术界和工程科技界的最高学术机构，要担负起国家战略科技力量和科学技术思想库的职责使命，团结全国科技界把握新一轮科技革命方向，勇攀世界科学高峰。</w:t>
      </w:r>
    </w:p>
    <w:p w14:paraId="638DB556">
      <w:pPr>
        <w:spacing w:line="480" w:lineRule="exact"/>
        <w:ind w:firstLine="480" w:firstLineChars="200"/>
        <w:rPr>
          <w:rFonts w:hint="eastAsia" w:ascii="Times New Roman" w:hAnsi="Times New Roman" w:eastAsia="方正仿宋_GBK"/>
          <w:color w:val="262626"/>
          <w:kern w:val="0"/>
          <w:sz w:val="24"/>
          <w:lang w:eastAsia="zh-CN"/>
        </w:rPr>
      </w:pPr>
      <w:r>
        <w:rPr>
          <w:rFonts w:hint="eastAsia" w:ascii="Times New Roman" w:hAnsi="Times New Roman" w:eastAsia="方正仿宋_GBK"/>
          <w:color w:val="262626"/>
          <w:kern w:val="0"/>
          <w:sz w:val="24"/>
        </w:rPr>
        <w:t>中国科协作为党和政府联系科技工作者的桥梁和纽带，要坚持探索创新，尽心尽力为科技工作者服务、为创新驱动发展服务、为提高全民科学素质服务、为党和政府科学决策服务。</w:t>
      </w:r>
    </w:p>
    <w:p w14:paraId="4C3A9B70">
      <w:pPr>
        <w:spacing w:line="480" w:lineRule="exact"/>
        <w:ind w:firstLine="480" w:firstLineChars="200"/>
        <w:rPr>
          <w:rFonts w:hint="eastAsia" w:ascii="Times New Roman" w:hAnsi="Times New Roman" w:eastAsia="方正仿宋_GBK"/>
          <w:color w:val="262626"/>
          <w:kern w:val="0"/>
          <w:sz w:val="24"/>
        </w:rPr>
      </w:pPr>
      <w:r>
        <w:rPr>
          <w:rFonts w:hint="eastAsia" w:ascii="Times New Roman" w:hAnsi="Times New Roman" w:eastAsia="方正仿宋_GBK"/>
          <w:color w:val="262626"/>
          <w:kern w:val="0"/>
          <w:sz w:val="24"/>
        </w:rPr>
        <w:t>两院院士是党和人民的骄傲，希望大家珍视荣誉、不懈奋斗，在开拓科技前沿、担纲重大任务、培育青年人才、践行科学家精神方面发挥示范引领作用。广大科技工作者是建设社会主义现代化强国的重要力量，希望大家发扬服务国家、造福人民的优良传统，为建设科技强国多立新功。</w:t>
      </w:r>
    </w:p>
    <w:p w14:paraId="7DAEE95F">
      <w:pPr>
        <w:spacing w:line="480" w:lineRule="exact"/>
        <w:ind w:firstLine="480" w:firstLineChars="200"/>
        <w:jc w:val="right"/>
        <w:rPr>
          <w:rFonts w:ascii="Times New Roman" w:hAnsi="Times New Roman" w:eastAsia="方正仿宋_GBK"/>
          <w:color w:val="262626"/>
          <w:kern w:val="0"/>
          <w:sz w:val="24"/>
        </w:rPr>
      </w:pPr>
      <w:r>
        <w:rPr>
          <w:rFonts w:ascii="Times New Roman" w:hAnsi="Times New Roman" w:eastAsia="方正仿宋_GBK"/>
          <w:color w:val="262626"/>
          <w:kern w:val="0"/>
          <w:sz w:val="24"/>
        </w:rPr>
        <w:br w:type="page"/>
      </w:r>
    </w:p>
    <w:p w14:paraId="2D395036">
      <w:pPr>
        <w:widowControl/>
        <w:spacing w:line="480" w:lineRule="exact"/>
        <w:ind w:right="2900"/>
        <w:rPr>
          <w:rFonts w:hint="eastAsia" w:ascii="Times New Roman" w:hAnsi="Times New Roman" w:eastAsia="方正黑体_GBK"/>
          <w:sz w:val="32"/>
          <w:szCs w:val="32"/>
          <w:lang w:eastAsia="zh-CN"/>
        </w:rPr>
      </w:pPr>
      <w:r>
        <w:rPr>
          <w:rFonts w:ascii="Times New Roman" w:hAnsi="Times New Roman" w:eastAsia="方正黑体_GBK"/>
          <w:sz w:val="32"/>
          <w:szCs w:val="32"/>
        </w:rPr>
        <w:t>附件</w:t>
      </w:r>
      <w:r>
        <w:rPr>
          <w:rFonts w:hint="eastAsia" w:ascii="Times New Roman" w:hAnsi="Times New Roman" w:eastAsia="方正黑体_GBK"/>
          <w:sz w:val="32"/>
          <w:szCs w:val="32"/>
          <w:lang w:val="en-US" w:eastAsia="zh-CN"/>
        </w:rPr>
        <w:t>3</w:t>
      </w:r>
    </w:p>
    <w:p w14:paraId="722C6E93">
      <w:pPr>
        <w:widowControl/>
        <w:spacing w:line="480" w:lineRule="exact"/>
        <w:jc w:val="center"/>
        <w:rPr>
          <w:rFonts w:ascii="Times New Roman" w:hAnsi="Times New Roman" w:eastAsia="方正小标宋_GBK"/>
          <w:color w:val="000000"/>
          <w:kern w:val="0"/>
          <w:sz w:val="36"/>
          <w:szCs w:val="36"/>
        </w:rPr>
      </w:pPr>
    </w:p>
    <w:p w14:paraId="6D267A3C">
      <w:pPr>
        <w:widowControl/>
        <w:spacing w:line="480" w:lineRule="exact"/>
        <w:jc w:val="center"/>
        <w:rPr>
          <w:rFonts w:ascii="Times New Roman" w:hAnsi="Times New Roman" w:eastAsia="方正小标宋_GBK"/>
          <w:color w:val="000000"/>
          <w:kern w:val="0"/>
          <w:sz w:val="36"/>
          <w:szCs w:val="36"/>
        </w:rPr>
      </w:pPr>
      <w:r>
        <w:rPr>
          <w:rFonts w:hint="eastAsia" w:ascii="Times New Roman" w:hAnsi="Times New Roman" w:eastAsia="方正小标宋_GBK"/>
          <w:color w:val="000000"/>
          <w:kern w:val="0"/>
          <w:sz w:val="36"/>
          <w:szCs w:val="36"/>
        </w:rPr>
        <w:t>中共中央召开党外人士座谈会 习近平主持并发表重要讲话</w:t>
      </w:r>
    </w:p>
    <w:p w14:paraId="0D4939A2">
      <w:pPr>
        <w:widowControl/>
        <w:spacing w:line="480" w:lineRule="exact"/>
        <w:jc w:val="center"/>
        <w:rPr>
          <w:rFonts w:ascii="方正楷体_GBK" w:hAnsi="Times New Roman" w:eastAsia="方正楷体_GBK"/>
          <w:b/>
          <w:sz w:val="24"/>
        </w:rPr>
      </w:pPr>
      <w:r>
        <w:rPr>
          <w:rFonts w:hint="eastAsia" w:ascii="方正楷体_GBK" w:hAnsi="Times New Roman" w:eastAsia="方正楷体_GBK"/>
          <w:b/>
          <w:sz w:val="24"/>
        </w:rPr>
        <w:t xml:space="preserve">（来源：“学习强国”学习平台 </w:t>
      </w:r>
      <w:r>
        <w:rPr>
          <w:rFonts w:ascii="方正楷体_GBK" w:hAnsi="Times New Roman" w:eastAsia="方正楷体_GBK"/>
          <w:b/>
          <w:sz w:val="24"/>
        </w:rPr>
        <w:t xml:space="preserve">     </w:t>
      </w:r>
      <w:r>
        <w:rPr>
          <w:rFonts w:hint="eastAsia" w:ascii="方正楷体_GBK" w:hAnsi="Times New Roman" w:eastAsia="方正楷体_GBK"/>
          <w:b/>
          <w:sz w:val="24"/>
        </w:rPr>
        <w:t>发布时间：202</w:t>
      </w:r>
      <w:r>
        <w:rPr>
          <w:rFonts w:ascii="方正楷体_GBK" w:hAnsi="Times New Roman" w:eastAsia="方正楷体_GBK"/>
          <w:b/>
          <w:sz w:val="24"/>
        </w:rPr>
        <w:t>6</w:t>
      </w:r>
      <w:r>
        <w:rPr>
          <w:rFonts w:hint="eastAsia" w:ascii="方正楷体_GBK" w:hAnsi="Times New Roman" w:eastAsia="方正楷体_GBK"/>
          <w:b/>
          <w:sz w:val="24"/>
        </w:rPr>
        <w:t>-</w:t>
      </w:r>
      <w:r>
        <w:rPr>
          <w:rFonts w:ascii="方正楷体_GBK" w:hAnsi="Times New Roman" w:eastAsia="方正楷体_GBK"/>
          <w:b/>
          <w:sz w:val="24"/>
        </w:rPr>
        <w:t>0</w:t>
      </w:r>
      <w:r>
        <w:rPr>
          <w:rFonts w:hint="eastAsia" w:ascii="方正楷体_GBK" w:hAnsi="Times New Roman" w:eastAsia="方正楷体_GBK"/>
          <w:b/>
          <w:sz w:val="24"/>
          <w:lang w:val="en-US" w:eastAsia="zh-CN"/>
        </w:rPr>
        <w:t>7</w:t>
      </w:r>
      <w:r>
        <w:rPr>
          <w:rFonts w:hint="eastAsia" w:ascii="方正楷体_GBK" w:hAnsi="Times New Roman" w:eastAsia="方正楷体_GBK"/>
          <w:b/>
          <w:sz w:val="24"/>
        </w:rPr>
        <w:t>-</w:t>
      </w:r>
      <w:r>
        <w:rPr>
          <w:rFonts w:ascii="方正楷体_GBK" w:hAnsi="Times New Roman" w:eastAsia="方正楷体_GBK"/>
          <w:b/>
          <w:sz w:val="24"/>
        </w:rPr>
        <w:t>3</w:t>
      </w:r>
      <w:r>
        <w:rPr>
          <w:rFonts w:hint="eastAsia" w:ascii="方正楷体_GBK" w:hAnsi="Times New Roman" w:eastAsia="方正楷体_GBK"/>
          <w:b/>
          <w:sz w:val="24"/>
          <w:lang w:val="en-US" w:eastAsia="zh-CN"/>
        </w:rPr>
        <w:t>0</w:t>
      </w:r>
      <w:r>
        <w:rPr>
          <w:rFonts w:hint="eastAsia" w:ascii="方正楷体_GBK" w:hAnsi="Times New Roman" w:eastAsia="方正楷体_GBK"/>
          <w:b/>
          <w:sz w:val="24"/>
        </w:rPr>
        <w:t>）</w:t>
      </w:r>
    </w:p>
    <w:p w14:paraId="171F70FB">
      <w:pPr>
        <w:spacing w:line="480" w:lineRule="exact"/>
        <w:ind w:firstLine="480" w:firstLineChars="200"/>
        <w:rPr>
          <w:rFonts w:ascii="Times New Roman" w:hAnsi="Times New Roman" w:eastAsia="方正仿宋_GBK"/>
          <w:color w:val="262626"/>
          <w:kern w:val="0"/>
          <w:sz w:val="24"/>
        </w:rPr>
      </w:pPr>
    </w:p>
    <w:p w14:paraId="3BDAC2C3">
      <w:pPr>
        <w:spacing w:line="480" w:lineRule="exact"/>
        <w:ind w:firstLine="480" w:firstLineChars="200"/>
        <w:jc w:val="both"/>
        <w:rPr>
          <w:rFonts w:hint="eastAsia" w:ascii="Times New Roman" w:hAnsi="Times New Roman" w:eastAsia="方正仿宋_GBK"/>
          <w:color w:val="262626"/>
          <w:kern w:val="0"/>
          <w:sz w:val="24"/>
          <w:lang w:eastAsia="zh-CN"/>
        </w:rPr>
      </w:pPr>
      <w:r>
        <w:rPr>
          <w:rFonts w:hint="eastAsia" w:ascii="Times New Roman" w:hAnsi="Times New Roman" w:eastAsia="方正仿宋_GBK"/>
          <w:color w:val="262626"/>
          <w:kern w:val="0"/>
          <w:sz w:val="24"/>
        </w:rPr>
        <w:t>新华社北京7月30日电 7月24日，中共中央在中南海召开党外人士座谈会，就当前经济形势和下半年经济工作听取各民主党派中央、全国工商联负责人和无党派人士代表的意见建议。中共中央总书记习近平主持座谈会并发表重要讲话强调，做好下半年经济工作，要坚持稳中求进工作总基调，完整准确全面贯彻新发展理念，加快构建新发展格局，更好统筹国内国际两个大局，统筹发展和安全，坚持深化改革开放，加快推动新旧动能转换，实施好更加积极的财政政策和适度宽松的货币政策，充分发挥各项存量政策效能，及时谋划出台务实管用的增量政策，加大逆周期调节力度，加力扩大内需、优化供给，切实保障和改善民生，增强发展动力、激发社会活力，推动经济持续向新向优向好发展，努力实现“十五五”良好开局。</w:t>
      </w:r>
    </w:p>
    <w:p w14:paraId="1F2E75EF">
      <w:pPr>
        <w:spacing w:line="480" w:lineRule="exact"/>
        <w:ind w:firstLine="480" w:firstLineChars="200"/>
        <w:jc w:val="both"/>
        <w:rPr>
          <w:rFonts w:hint="eastAsia" w:ascii="Times New Roman" w:hAnsi="Times New Roman" w:eastAsia="方正仿宋_GBK"/>
          <w:color w:val="262626"/>
          <w:kern w:val="0"/>
          <w:sz w:val="24"/>
          <w:lang w:eastAsia="zh-CN"/>
        </w:rPr>
      </w:pPr>
      <w:r>
        <w:rPr>
          <w:rFonts w:hint="eastAsia" w:ascii="Times New Roman" w:hAnsi="Times New Roman" w:eastAsia="方正仿宋_GBK"/>
          <w:color w:val="262626"/>
          <w:kern w:val="0"/>
          <w:sz w:val="24"/>
        </w:rPr>
        <w:t>中共中央政治局常委李强、王沪宁、蔡奇、丁薛祥出席座谈会。李强受中共中央委托通报了上半年经济工作有关情况，介绍了关于下半年经济工作有关考虑。</w:t>
      </w:r>
    </w:p>
    <w:p w14:paraId="4611C7CB">
      <w:pPr>
        <w:spacing w:line="480" w:lineRule="exact"/>
        <w:ind w:firstLine="480" w:firstLineChars="200"/>
        <w:jc w:val="both"/>
        <w:rPr>
          <w:rFonts w:hint="eastAsia" w:ascii="Times New Roman" w:hAnsi="Times New Roman" w:eastAsia="方正仿宋_GBK"/>
          <w:color w:val="262626"/>
          <w:kern w:val="0"/>
          <w:sz w:val="24"/>
          <w:lang w:eastAsia="zh-CN"/>
        </w:rPr>
      </w:pPr>
      <w:r>
        <w:rPr>
          <w:rFonts w:hint="eastAsia" w:ascii="Times New Roman" w:hAnsi="Times New Roman" w:eastAsia="方正仿宋_GBK"/>
          <w:color w:val="262626"/>
          <w:kern w:val="0"/>
          <w:sz w:val="24"/>
        </w:rPr>
        <w:t>座谈会上，民革中央主席郑建邦、民盟中央主席丁仲礼、民建中央主席郝明金、民进中央主席蔡达峰、农工党中央主席何维、致公党中央主席蒋作君、九三学社中央主席武维华、台盟中央主席苏辉、全国工商联主席高云龙、无党派人士代表邵峰先后发言。大家完全赞同中共中央对当前经济形势的分析判断和下半年经济工作的考虑，并就培育壮大新动能、促进创新链与产业链融合发展、健全智能经济产业应用标准制度体系、统筹发挥经济社会文化建设合力、稳住重点群体就业、加强基础研究、精准落实扩大消费规划、进一步扩大有效投资、持续推进高水平对外开放、加大逆周期政策力度等提出意见建议。</w:t>
      </w:r>
    </w:p>
    <w:p w14:paraId="02118995">
      <w:pPr>
        <w:spacing w:line="480" w:lineRule="exact"/>
        <w:ind w:firstLine="480" w:firstLineChars="200"/>
        <w:jc w:val="both"/>
        <w:rPr>
          <w:rFonts w:hint="eastAsia" w:ascii="Times New Roman" w:hAnsi="Times New Roman" w:eastAsia="方正仿宋_GBK"/>
          <w:color w:val="262626"/>
          <w:kern w:val="0"/>
          <w:sz w:val="24"/>
          <w:lang w:eastAsia="zh-CN"/>
        </w:rPr>
      </w:pPr>
      <w:r>
        <w:rPr>
          <w:rFonts w:hint="eastAsia" w:ascii="Times New Roman" w:hAnsi="Times New Roman" w:eastAsia="方正仿宋_GBK"/>
          <w:color w:val="262626"/>
          <w:kern w:val="0"/>
          <w:sz w:val="24"/>
        </w:rPr>
        <w:t>在认真听取大家发言后，习近平发表重要讲话。他指出，今年上半年，在中共中央坚强领导下，各地区各部门靠前发力、主动作为，有效应对内外风险挑战，我国经济顶压前行、向新向优，展现出强大韧性和活力。</w:t>
      </w:r>
    </w:p>
    <w:p w14:paraId="4F9CB55A">
      <w:pPr>
        <w:spacing w:line="480" w:lineRule="exact"/>
        <w:ind w:firstLine="480" w:firstLineChars="200"/>
        <w:jc w:val="both"/>
        <w:rPr>
          <w:rFonts w:hint="eastAsia" w:ascii="Times New Roman" w:hAnsi="Times New Roman" w:eastAsia="方正仿宋_GBK"/>
          <w:color w:val="262626"/>
          <w:kern w:val="0"/>
          <w:sz w:val="24"/>
          <w:lang w:eastAsia="zh-CN"/>
        </w:rPr>
      </w:pPr>
      <w:r>
        <w:rPr>
          <w:rFonts w:hint="eastAsia" w:ascii="Times New Roman" w:hAnsi="Times New Roman" w:eastAsia="方正仿宋_GBK"/>
          <w:color w:val="262626"/>
          <w:kern w:val="0"/>
          <w:sz w:val="24"/>
        </w:rPr>
        <w:t>习近平强调，当前我国经济运行也面临一些困难挑战，要坚定信心、攻坚克难，推动高质量发展行稳致远。下半年，要增强宏观政策效能，重点做好挖掘内需潜力、推动科技创新和产业创新深度融合、全面深化改革、扩大高水平对外开放、有力有效保障和改善民生、持续化解重点领域风险等工作。</w:t>
      </w:r>
    </w:p>
    <w:p w14:paraId="4C2D1163">
      <w:pPr>
        <w:spacing w:line="480" w:lineRule="exact"/>
        <w:ind w:firstLine="480" w:firstLineChars="200"/>
        <w:jc w:val="both"/>
        <w:rPr>
          <w:rFonts w:hint="eastAsia" w:ascii="Times New Roman" w:hAnsi="Times New Roman" w:eastAsia="方正仿宋_GBK"/>
          <w:color w:val="262626"/>
          <w:kern w:val="0"/>
          <w:sz w:val="24"/>
          <w:lang w:eastAsia="zh-CN"/>
        </w:rPr>
      </w:pPr>
      <w:r>
        <w:rPr>
          <w:rFonts w:hint="eastAsia" w:ascii="Times New Roman" w:hAnsi="Times New Roman" w:eastAsia="方正仿宋_GBK"/>
          <w:color w:val="262626"/>
          <w:kern w:val="0"/>
          <w:sz w:val="24"/>
        </w:rPr>
        <w:t>习近平指出，上半年，各民主党派中央、全国工商联和无党派人士坚决贯彻中共中央决策部署，主动服务国家大局，聚焦经济社会发展中的一些重点问题建言献策，为党和政府科学决策提供了重要参考。他代表中共中央向大家表示衷心感谢。</w:t>
      </w:r>
    </w:p>
    <w:p w14:paraId="072E36E0">
      <w:pPr>
        <w:spacing w:line="480" w:lineRule="exact"/>
        <w:ind w:firstLine="480" w:firstLineChars="200"/>
        <w:jc w:val="both"/>
        <w:rPr>
          <w:rFonts w:hint="eastAsia" w:ascii="Times New Roman" w:hAnsi="Times New Roman" w:eastAsia="方正仿宋_GBK"/>
          <w:color w:val="262626"/>
          <w:kern w:val="0"/>
          <w:sz w:val="24"/>
          <w:lang w:eastAsia="zh-CN"/>
        </w:rPr>
      </w:pPr>
      <w:r>
        <w:rPr>
          <w:rFonts w:hint="eastAsia" w:ascii="Times New Roman" w:hAnsi="Times New Roman" w:eastAsia="方正仿宋_GBK"/>
          <w:color w:val="262626"/>
          <w:kern w:val="0"/>
          <w:sz w:val="24"/>
        </w:rPr>
        <w:t>习近平对各民主党派、全国工商联和无党派人士提出3点希望。一是把思想和行动统一到中共中央关于当前经济形势的分析判断和对经济工作的决策部署上来，坚定发展信心，共同推动实现全年经济社会发展目标任务。二是积极履职尽责，在深入调研基础上提出有针对性的建议，为促进经济稳中向好贡献智慧力量。三是持续加强对广大成员和所联系群众的思想政治引领，引导大家学习领会党的创新理论，不断增进对中国共产党领导和中国特色社会主义的政治认同、思想认同、理论认同、情感认同，为推动高质量发展营造良好氛围。</w:t>
      </w:r>
    </w:p>
    <w:p w14:paraId="620A0B6B">
      <w:pPr>
        <w:spacing w:line="480" w:lineRule="exact"/>
        <w:ind w:firstLine="480" w:firstLineChars="200"/>
        <w:jc w:val="both"/>
        <w:rPr>
          <w:rFonts w:hint="eastAsia" w:ascii="Times New Roman" w:hAnsi="Times New Roman" w:eastAsia="方正仿宋_GBK"/>
          <w:color w:val="262626"/>
          <w:kern w:val="0"/>
          <w:sz w:val="24"/>
          <w:lang w:eastAsia="zh-CN"/>
        </w:rPr>
      </w:pPr>
      <w:r>
        <w:rPr>
          <w:rFonts w:hint="eastAsia" w:ascii="Times New Roman" w:hAnsi="Times New Roman" w:eastAsia="方正仿宋_GBK"/>
          <w:color w:val="262626"/>
          <w:kern w:val="0"/>
          <w:sz w:val="24"/>
        </w:rPr>
        <w:t>刘国中、李干杰、何立峰、张国清、吴政隆，中共中央、国务院有关部门负责人出席座谈会。</w:t>
      </w:r>
    </w:p>
    <w:p w14:paraId="09975D6C">
      <w:pPr>
        <w:spacing w:line="480" w:lineRule="exact"/>
        <w:ind w:firstLine="480" w:firstLineChars="200"/>
        <w:jc w:val="both"/>
        <w:rPr>
          <w:rFonts w:ascii="Times New Roman" w:hAnsi="Times New Roman" w:eastAsia="方正仿宋_GBK"/>
          <w:color w:val="262626"/>
          <w:kern w:val="0"/>
          <w:sz w:val="24"/>
        </w:rPr>
      </w:pPr>
      <w:r>
        <w:rPr>
          <w:rFonts w:hint="eastAsia" w:ascii="Times New Roman" w:hAnsi="Times New Roman" w:eastAsia="方正仿宋_GBK"/>
          <w:color w:val="262626"/>
          <w:kern w:val="0"/>
          <w:sz w:val="24"/>
        </w:rPr>
        <w:t>出席座谈会的党外人士还有邵鸿、何报翔、王光谦、秦博勇、朱永新、杨震和张恩迪、方光华、张斌等。</w:t>
      </w:r>
    </w:p>
    <w:p w14:paraId="41E5EBD6">
      <w:pPr>
        <w:spacing w:line="480" w:lineRule="exact"/>
        <w:ind w:firstLine="480" w:firstLineChars="200"/>
        <w:jc w:val="right"/>
        <w:rPr>
          <w:rFonts w:ascii="Times New Roman" w:hAnsi="Times New Roman" w:eastAsia="方正仿宋_GBK"/>
          <w:color w:val="262626"/>
          <w:kern w:val="0"/>
          <w:sz w:val="24"/>
        </w:rPr>
      </w:pPr>
    </w:p>
    <w:p w14:paraId="54CCB949">
      <w:pPr>
        <w:widowControl/>
        <w:jc w:val="left"/>
        <w:rPr>
          <w:rFonts w:ascii="Times New Roman" w:hAnsi="Times New Roman" w:eastAsia="方正仿宋_GBK"/>
          <w:color w:val="262626"/>
          <w:kern w:val="0"/>
          <w:sz w:val="24"/>
        </w:rPr>
      </w:pPr>
      <w:r>
        <w:rPr>
          <w:rFonts w:ascii="Times New Roman" w:hAnsi="Times New Roman" w:eastAsia="方正仿宋_GBK"/>
          <w:color w:val="262626"/>
          <w:kern w:val="0"/>
          <w:sz w:val="24"/>
        </w:rPr>
        <w:br w:type="page"/>
      </w:r>
    </w:p>
    <w:p w14:paraId="79613379">
      <w:pPr>
        <w:widowControl/>
        <w:spacing w:line="480" w:lineRule="exact"/>
        <w:ind w:right="2900"/>
        <w:rPr>
          <w:rFonts w:hint="eastAsia" w:ascii="Times New Roman" w:hAnsi="Times New Roman" w:eastAsia="方正黑体_GBK"/>
          <w:sz w:val="32"/>
          <w:szCs w:val="32"/>
          <w:lang w:eastAsia="zh-CN"/>
        </w:rPr>
      </w:pPr>
      <w:r>
        <w:rPr>
          <w:rFonts w:ascii="Times New Roman" w:hAnsi="Times New Roman" w:eastAsia="方正黑体_GBK"/>
          <w:sz w:val="32"/>
          <w:szCs w:val="32"/>
        </w:rPr>
        <w:t>附件</w:t>
      </w:r>
      <w:r>
        <w:rPr>
          <w:rFonts w:hint="eastAsia" w:ascii="Times New Roman" w:hAnsi="Times New Roman" w:eastAsia="方正黑体_GBK"/>
          <w:sz w:val="32"/>
          <w:szCs w:val="32"/>
          <w:lang w:val="en-US" w:eastAsia="zh-CN"/>
        </w:rPr>
        <w:t>4</w:t>
      </w:r>
    </w:p>
    <w:p w14:paraId="2100AFC1">
      <w:pPr>
        <w:widowControl/>
        <w:spacing w:line="480" w:lineRule="exact"/>
        <w:jc w:val="center"/>
        <w:rPr>
          <w:rFonts w:ascii="Times New Roman" w:hAnsi="Times New Roman" w:eastAsia="方正小标宋_GBK"/>
          <w:color w:val="000000"/>
          <w:kern w:val="0"/>
          <w:sz w:val="36"/>
          <w:szCs w:val="36"/>
        </w:rPr>
      </w:pPr>
    </w:p>
    <w:p w14:paraId="32635043">
      <w:pPr>
        <w:widowControl/>
        <w:spacing w:line="480" w:lineRule="exact"/>
        <w:jc w:val="center"/>
        <w:rPr>
          <w:rFonts w:ascii="Times New Roman" w:hAnsi="Times New Roman" w:eastAsia="方正小标宋_GBK"/>
          <w:color w:val="000000"/>
          <w:kern w:val="0"/>
          <w:sz w:val="36"/>
          <w:szCs w:val="36"/>
        </w:rPr>
      </w:pPr>
      <w:r>
        <w:rPr>
          <w:rFonts w:hint="eastAsia" w:ascii="Times New Roman" w:hAnsi="Times New Roman" w:eastAsia="方正小标宋_GBK"/>
          <w:color w:val="000000"/>
          <w:kern w:val="0"/>
          <w:sz w:val="36"/>
          <w:szCs w:val="36"/>
        </w:rPr>
        <w:t>习近平在2026世界人工智能大会暨人工智能全球治理高级别会议开幕式上的主旨讲话（全文）</w:t>
      </w:r>
    </w:p>
    <w:p w14:paraId="270AE951">
      <w:pPr>
        <w:widowControl/>
        <w:spacing w:line="480" w:lineRule="exact"/>
        <w:jc w:val="center"/>
        <w:rPr>
          <w:rFonts w:ascii="方正楷体_GBK" w:hAnsi="Times New Roman" w:eastAsia="方正楷体_GBK"/>
          <w:b/>
          <w:sz w:val="24"/>
        </w:rPr>
      </w:pPr>
      <w:r>
        <w:rPr>
          <w:rFonts w:hint="eastAsia" w:ascii="方正楷体_GBK" w:hAnsi="Times New Roman" w:eastAsia="方正楷体_GBK"/>
          <w:b/>
          <w:sz w:val="24"/>
        </w:rPr>
        <w:t xml:space="preserve">（来源：“学习强国”学习平台 </w:t>
      </w:r>
      <w:r>
        <w:rPr>
          <w:rFonts w:ascii="方正楷体_GBK" w:hAnsi="Times New Roman" w:eastAsia="方正楷体_GBK"/>
          <w:b/>
          <w:sz w:val="24"/>
        </w:rPr>
        <w:t xml:space="preserve">     </w:t>
      </w:r>
      <w:r>
        <w:rPr>
          <w:rFonts w:hint="eastAsia" w:ascii="方正楷体_GBK" w:hAnsi="Times New Roman" w:eastAsia="方正楷体_GBK"/>
          <w:b/>
          <w:sz w:val="24"/>
        </w:rPr>
        <w:t>发布时间：202</w:t>
      </w:r>
      <w:r>
        <w:rPr>
          <w:rFonts w:ascii="方正楷体_GBK" w:hAnsi="Times New Roman" w:eastAsia="方正楷体_GBK"/>
          <w:b/>
          <w:sz w:val="24"/>
        </w:rPr>
        <w:t>6</w:t>
      </w:r>
      <w:r>
        <w:rPr>
          <w:rFonts w:hint="eastAsia" w:ascii="方正楷体_GBK" w:hAnsi="Times New Roman" w:eastAsia="方正楷体_GBK"/>
          <w:b/>
          <w:sz w:val="24"/>
        </w:rPr>
        <w:t>-</w:t>
      </w:r>
      <w:r>
        <w:rPr>
          <w:rFonts w:ascii="方正楷体_GBK" w:hAnsi="Times New Roman" w:eastAsia="方正楷体_GBK"/>
          <w:b/>
          <w:sz w:val="24"/>
        </w:rPr>
        <w:t>0</w:t>
      </w:r>
      <w:r>
        <w:rPr>
          <w:rFonts w:hint="eastAsia" w:ascii="方正楷体_GBK" w:hAnsi="Times New Roman" w:eastAsia="方正楷体_GBK"/>
          <w:b/>
          <w:sz w:val="24"/>
          <w:lang w:val="en-US" w:eastAsia="zh-CN"/>
        </w:rPr>
        <w:t>7</w:t>
      </w:r>
      <w:r>
        <w:rPr>
          <w:rFonts w:hint="eastAsia" w:ascii="方正楷体_GBK" w:hAnsi="Times New Roman" w:eastAsia="方正楷体_GBK"/>
          <w:b/>
          <w:sz w:val="24"/>
        </w:rPr>
        <w:t>-</w:t>
      </w:r>
      <w:r>
        <w:rPr>
          <w:rFonts w:hint="eastAsia" w:ascii="方正楷体_GBK" w:hAnsi="Times New Roman" w:eastAsia="方正楷体_GBK"/>
          <w:b/>
          <w:sz w:val="24"/>
          <w:lang w:val="en-US" w:eastAsia="zh-CN"/>
        </w:rPr>
        <w:t>17</w:t>
      </w:r>
      <w:r>
        <w:rPr>
          <w:rFonts w:hint="eastAsia" w:ascii="方正楷体_GBK" w:hAnsi="Times New Roman" w:eastAsia="方正楷体_GBK"/>
          <w:b/>
          <w:sz w:val="24"/>
        </w:rPr>
        <w:t>）</w:t>
      </w:r>
    </w:p>
    <w:p w14:paraId="68A58D22">
      <w:pPr>
        <w:spacing w:line="480" w:lineRule="exact"/>
        <w:ind w:firstLine="480" w:firstLineChars="200"/>
        <w:rPr>
          <w:rFonts w:ascii="Times New Roman" w:hAnsi="Times New Roman" w:eastAsia="方正仿宋_GBK"/>
          <w:color w:val="262626"/>
          <w:kern w:val="0"/>
          <w:sz w:val="24"/>
        </w:rPr>
      </w:pPr>
    </w:p>
    <w:p w14:paraId="2503299C">
      <w:pPr>
        <w:spacing w:line="480" w:lineRule="exact"/>
        <w:rPr>
          <w:rFonts w:hint="eastAsia" w:ascii="Times New Roman" w:hAnsi="Times New Roman" w:eastAsia="方正仿宋_GBK"/>
          <w:color w:val="262626"/>
          <w:kern w:val="0"/>
          <w:sz w:val="24"/>
          <w:lang w:eastAsia="zh-CN"/>
        </w:rPr>
      </w:pPr>
      <w:r>
        <w:rPr>
          <w:rFonts w:hint="eastAsia" w:ascii="Times New Roman" w:hAnsi="Times New Roman" w:eastAsia="方正仿宋_GBK"/>
          <w:color w:val="262626"/>
          <w:kern w:val="0"/>
          <w:sz w:val="24"/>
        </w:rPr>
        <w:t>尊敬的各位同事、各位来宾，</w:t>
      </w:r>
    </w:p>
    <w:p w14:paraId="12329999">
      <w:pPr>
        <w:spacing w:line="480" w:lineRule="exact"/>
        <w:rPr>
          <w:rFonts w:hint="eastAsia" w:ascii="Times New Roman" w:hAnsi="Times New Roman" w:eastAsia="方正仿宋_GBK"/>
          <w:color w:val="262626"/>
          <w:kern w:val="0"/>
          <w:sz w:val="24"/>
          <w:lang w:eastAsia="zh-CN"/>
        </w:rPr>
      </w:pPr>
      <w:r>
        <w:rPr>
          <w:rFonts w:hint="eastAsia" w:ascii="Times New Roman" w:hAnsi="Times New Roman" w:eastAsia="方正仿宋_GBK"/>
          <w:color w:val="262626"/>
          <w:kern w:val="0"/>
          <w:sz w:val="24"/>
        </w:rPr>
        <w:t>女士们，先生们，朋友们：</w:t>
      </w:r>
    </w:p>
    <w:p w14:paraId="5CF8E755">
      <w:pPr>
        <w:spacing w:line="480" w:lineRule="exact"/>
        <w:ind w:firstLine="480" w:firstLineChars="200"/>
        <w:rPr>
          <w:rFonts w:hint="eastAsia" w:ascii="Times New Roman" w:hAnsi="Times New Roman" w:eastAsia="方正仿宋_GBK"/>
          <w:color w:val="262626"/>
          <w:kern w:val="0"/>
          <w:sz w:val="24"/>
          <w:lang w:eastAsia="zh-CN"/>
        </w:rPr>
      </w:pPr>
      <w:r>
        <w:rPr>
          <w:rFonts w:hint="eastAsia" w:ascii="Times New Roman" w:hAnsi="Times New Roman" w:eastAsia="方正仿宋_GBK"/>
          <w:color w:val="262626"/>
          <w:kern w:val="0"/>
          <w:sz w:val="24"/>
        </w:rPr>
        <w:t>70年前，一群年轻学者在美国新罕布什尔州达特茅斯会议上首次提出人工智能概念。70年间，世界各国人工智能科学家和研发者不断在未知中求索、在曲折中前行、在坚守中突破。70年后，面对新一轮蓬勃发展的人工智能浪潮，我们相聚在浦江之畔，共同探讨促进全球人工智能朝着向上向善、造福人类的方向发展，具有重要意义。我谨代表中国政府和中国人民，对大家的到来表示热烈欢迎。</w:t>
      </w:r>
    </w:p>
    <w:p w14:paraId="668E5BC0">
      <w:pPr>
        <w:spacing w:line="480" w:lineRule="exact"/>
        <w:ind w:firstLine="480" w:firstLineChars="200"/>
        <w:rPr>
          <w:rFonts w:hint="eastAsia" w:ascii="Times New Roman" w:hAnsi="Times New Roman" w:eastAsia="方正仿宋_GBK"/>
          <w:color w:val="262626"/>
          <w:kern w:val="0"/>
          <w:sz w:val="24"/>
          <w:lang w:eastAsia="zh-CN"/>
        </w:rPr>
      </w:pPr>
      <w:r>
        <w:rPr>
          <w:rFonts w:hint="eastAsia" w:ascii="Times New Roman" w:hAnsi="Times New Roman" w:eastAsia="方正仿宋_GBK"/>
          <w:color w:val="262626"/>
          <w:kern w:val="0"/>
          <w:sz w:val="24"/>
        </w:rPr>
        <w:t>回望历史，蒸汽机的发明开启工业文明，电力的普及点亮现代社会，互联网的诞生连接整个世界。每一次科技革命都深刻重构人类生产生活方式，推动经济社会发展大幅跃升。</w:t>
      </w:r>
    </w:p>
    <w:p w14:paraId="720AC409">
      <w:pPr>
        <w:spacing w:line="480" w:lineRule="exact"/>
        <w:ind w:firstLine="480" w:firstLineChars="200"/>
        <w:rPr>
          <w:rFonts w:hint="eastAsia" w:ascii="Times New Roman" w:hAnsi="Times New Roman" w:eastAsia="方正仿宋_GBK"/>
          <w:color w:val="262626"/>
          <w:kern w:val="0"/>
          <w:sz w:val="24"/>
          <w:lang w:eastAsia="zh-CN"/>
        </w:rPr>
      </w:pPr>
      <w:r>
        <w:rPr>
          <w:rFonts w:hint="eastAsia" w:ascii="Times New Roman" w:hAnsi="Times New Roman" w:eastAsia="方正仿宋_GBK"/>
          <w:color w:val="262626"/>
          <w:kern w:val="0"/>
          <w:sz w:val="24"/>
        </w:rPr>
        <w:t>当前，世界百年变局加速演进，新一轮科技革命和产业变革加速突破，全球人工智能技术创新进入前所未有的活跃期，万物智联、人机协同、跨界融合、共创分享的智能技术，叠加释放巨大能量，既蕴含巨大机遇，也面临治理挑战。人类不得不直面时代之问：当机器开始思考，人类如何与之相处？当算法参与决策，安全如何保障？当技术挑战伦理，治理如何跟上？当鸿沟不断拉大，普惠如何实现？这些问题需要国际社会深入思考、共同作答。</w:t>
      </w:r>
    </w:p>
    <w:p w14:paraId="341A3AA1">
      <w:pPr>
        <w:spacing w:line="480" w:lineRule="exact"/>
        <w:ind w:firstLine="480" w:firstLineChars="200"/>
        <w:rPr>
          <w:rFonts w:hint="eastAsia" w:ascii="Times New Roman" w:hAnsi="Times New Roman" w:eastAsia="方正仿宋_GBK"/>
          <w:color w:val="262626"/>
          <w:kern w:val="0"/>
          <w:sz w:val="24"/>
          <w:lang w:eastAsia="zh-CN"/>
        </w:rPr>
      </w:pPr>
      <w:r>
        <w:rPr>
          <w:rFonts w:hint="eastAsia" w:ascii="Times New Roman" w:hAnsi="Times New Roman" w:eastAsia="方正仿宋_GBK"/>
          <w:color w:val="262626"/>
          <w:kern w:val="0"/>
          <w:sz w:val="24"/>
        </w:rPr>
        <w:t>中方认为，各国应当秉持以人为本、向上向善理念，让人工智能成为促进共同繁荣、维护共同安全的一个重要动力源，携手构建公正合理的全球人工智能治理体系。在此，我提4点意见。</w:t>
      </w:r>
    </w:p>
    <w:p w14:paraId="23C70769">
      <w:pPr>
        <w:spacing w:line="480" w:lineRule="exact"/>
        <w:ind w:firstLine="480" w:firstLineChars="200"/>
        <w:rPr>
          <w:rFonts w:hint="eastAsia" w:ascii="Times New Roman" w:hAnsi="Times New Roman" w:eastAsia="方正仿宋_GBK"/>
          <w:color w:val="262626"/>
          <w:kern w:val="0"/>
          <w:sz w:val="24"/>
          <w:lang w:eastAsia="zh-CN"/>
        </w:rPr>
      </w:pPr>
      <w:r>
        <w:rPr>
          <w:rFonts w:hint="eastAsia" w:ascii="Times New Roman" w:hAnsi="Times New Roman" w:eastAsia="方正仿宋_GBK"/>
          <w:color w:val="262626"/>
          <w:kern w:val="0"/>
          <w:sz w:val="24"/>
        </w:rPr>
        <w:t>第一，坚持开放共赢，驱动创新发展。人工智能是世界经济增长的新引擎和新旧动能转换的加速器，正从“数字世界”走向“物理世界”。要抓住难得的历史性机遇，鼓励开源开放、合作共享，全面促进人工智能科技创新、产业发展、场景应用，协同推进传统产业改造升级、新兴产业培育壮大、未来产业前瞻布局，让人工智能赋能千行百业。</w:t>
      </w:r>
    </w:p>
    <w:p w14:paraId="60DC0725">
      <w:pPr>
        <w:spacing w:line="480" w:lineRule="exact"/>
        <w:ind w:firstLine="480" w:firstLineChars="200"/>
        <w:rPr>
          <w:rFonts w:hint="eastAsia" w:ascii="Times New Roman" w:hAnsi="Times New Roman" w:eastAsia="方正仿宋_GBK"/>
          <w:color w:val="262626"/>
          <w:kern w:val="0"/>
          <w:sz w:val="24"/>
          <w:lang w:eastAsia="zh-CN"/>
        </w:rPr>
      </w:pPr>
      <w:r>
        <w:rPr>
          <w:rFonts w:hint="eastAsia" w:ascii="Times New Roman" w:hAnsi="Times New Roman" w:eastAsia="方正仿宋_GBK"/>
          <w:color w:val="262626"/>
          <w:kern w:val="0"/>
          <w:sz w:val="24"/>
        </w:rPr>
        <w:t>第二，强化风险意识，确保安全可控。人工智能应当成为人类的可信工具。要高度重视人工智能引发的各类内生和衍生风险，推动构建法律法规、技术监测、风险预警、应急响应体系，筑牢安全底线，防范滥用恶用，确保人工智能始终处于人类控制之下。同时，应当共同反对在人工智能领域泛化国家安全概念、把本国安全凌驾于他国安全之上的做法。</w:t>
      </w:r>
    </w:p>
    <w:p w14:paraId="6530E2C3">
      <w:pPr>
        <w:spacing w:line="480" w:lineRule="exact"/>
        <w:ind w:firstLine="480" w:firstLineChars="200"/>
        <w:rPr>
          <w:rFonts w:hint="eastAsia" w:ascii="Times New Roman" w:hAnsi="Times New Roman" w:eastAsia="方正仿宋_GBK"/>
          <w:color w:val="262626"/>
          <w:kern w:val="0"/>
          <w:sz w:val="24"/>
          <w:lang w:eastAsia="zh-CN"/>
        </w:rPr>
      </w:pPr>
      <w:r>
        <w:rPr>
          <w:rFonts w:hint="eastAsia" w:ascii="Times New Roman" w:hAnsi="Times New Roman" w:eastAsia="方正仿宋_GBK"/>
          <w:color w:val="262626"/>
          <w:kern w:val="0"/>
          <w:sz w:val="24"/>
        </w:rPr>
        <w:t>第三，鼓励包容并蓄，促进文明互鉴。人工智能发展和应用不应该侵蚀和损害世界文明多样性和各国文化独特性。要用全人类共同价值塑造人工智能的价值观，善用人工智能技术增进不同文明的理解和包容，促进不同文明交流互鉴，精心培育各美其美、美美与共的文明百花园。</w:t>
      </w:r>
    </w:p>
    <w:p w14:paraId="5AB79933">
      <w:pPr>
        <w:spacing w:line="480" w:lineRule="exact"/>
        <w:ind w:firstLine="480" w:firstLineChars="200"/>
        <w:rPr>
          <w:rFonts w:hint="eastAsia" w:ascii="Times New Roman" w:hAnsi="Times New Roman" w:eastAsia="方正仿宋_GBK"/>
          <w:color w:val="262626"/>
          <w:kern w:val="0"/>
          <w:sz w:val="24"/>
          <w:lang w:eastAsia="zh-CN"/>
        </w:rPr>
      </w:pPr>
      <w:r>
        <w:rPr>
          <w:rFonts w:hint="eastAsia" w:ascii="Times New Roman" w:hAnsi="Times New Roman" w:eastAsia="方正仿宋_GBK"/>
          <w:color w:val="262626"/>
          <w:kern w:val="0"/>
          <w:sz w:val="24"/>
        </w:rPr>
        <w:t>第四，倡导和衷共济，完善全球治理。人工智能是全人类共同的智慧结晶和宝贵财富。要践行真正的多边主义，切实发挥联合国的重要作用，加强人工智能发展战略、治理规则、技术标准的对接协调，早日形成具有广泛共识的全球治理框架，让这一前沿技术更好造福人类社会。要广泛开展国际合作，帮助全球南方国家加强能力建设，弥合数智鸿沟，促进可持续发展，避免在人工智能领域造成新的历史不公。</w:t>
      </w:r>
    </w:p>
    <w:p w14:paraId="250CAA39">
      <w:pPr>
        <w:spacing w:line="480" w:lineRule="exact"/>
        <w:ind w:firstLine="480" w:firstLineChars="200"/>
        <w:rPr>
          <w:rFonts w:hint="eastAsia" w:ascii="Times New Roman" w:hAnsi="Times New Roman" w:eastAsia="方正仿宋_GBK"/>
          <w:color w:val="262626"/>
          <w:kern w:val="0"/>
          <w:sz w:val="24"/>
          <w:lang w:eastAsia="zh-CN"/>
        </w:rPr>
      </w:pPr>
      <w:r>
        <w:rPr>
          <w:rFonts w:hint="eastAsia" w:ascii="Times New Roman" w:hAnsi="Times New Roman" w:eastAsia="方正仿宋_GBK"/>
          <w:color w:val="262626"/>
          <w:kern w:val="0"/>
          <w:sz w:val="24"/>
        </w:rPr>
        <w:t>女士们、先生们、朋友们！</w:t>
      </w:r>
    </w:p>
    <w:p w14:paraId="5E785B52">
      <w:pPr>
        <w:spacing w:line="480" w:lineRule="exact"/>
        <w:ind w:firstLine="480" w:firstLineChars="200"/>
        <w:rPr>
          <w:rFonts w:hint="eastAsia" w:ascii="Times New Roman" w:hAnsi="Times New Roman" w:eastAsia="方正仿宋_GBK"/>
          <w:color w:val="262626"/>
          <w:kern w:val="0"/>
          <w:sz w:val="24"/>
          <w:lang w:eastAsia="zh-CN"/>
        </w:rPr>
      </w:pPr>
      <w:r>
        <w:rPr>
          <w:rFonts w:hint="eastAsia" w:ascii="Times New Roman" w:hAnsi="Times New Roman" w:eastAsia="方正仿宋_GBK"/>
          <w:color w:val="262626"/>
          <w:kern w:val="0"/>
          <w:sz w:val="24"/>
        </w:rPr>
        <w:t>今年是中国“十五五”开局之年。“十五五”规划为未来5年中国经济社会发展擘画蓝图，也为国际社会提供机遇清单。近年来，中国积极拥抱人工智能发展，坚持有效市场和有为政府相结合，加强人工智能科技创新，积极推进“人工智能+”行动，培育各类主体共生共荣的健康生态，智能经济核心产业规模已经超过万亿元人民币。各类智能终端走进千家万户，切实惠及民生，“中国智造”已成为中国式现代化的又一亮丽名片。</w:t>
      </w:r>
    </w:p>
    <w:p w14:paraId="53DDF4B6">
      <w:pPr>
        <w:spacing w:line="480" w:lineRule="exact"/>
        <w:ind w:firstLine="480" w:firstLineChars="200"/>
        <w:rPr>
          <w:rFonts w:hint="eastAsia" w:ascii="Times New Roman" w:hAnsi="Times New Roman" w:eastAsia="方正仿宋_GBK"/>
          <w:color w:val="262626"/>
          <w:kern w:val="0"/>
          <w:sz w:val="24"/>
          <w:lang w:eastAsia="zh-CN"/>
        </w:rPr>
      </w:pPr>
      <w:r>
        <w:rPr>
          <w:rFonts w:hint="eastAsia" w:ascii="Times New Roman" w:hAnsi="Times New Roman" w:eastAsia="方正仿宋_GBK"/>
          <w:color w:val="262626"/>
          <w:kern w:val="0"/>
          <w:sz w:val="24"/>
        </w:rPr>
        <w:t>同时，中国始终坚持发展和安全并重，把握人工智能发展趋势和规律，不断完善相关法律法规、政策制度、应用规范、伦理准则，确保人工智能安全、可靠、可控，让人工智能这匹千里马既跑得快又跑得稳。</w:t>
      </w:r>
    </w:p>
    <w:p w14:paraId="484FBEB9">
      <w:pPr>
        <w:spacing w:line="480" w:lineRule="exact"/>
        <w:ind w:firstLine="480" w:firstLineChars="200"/>
        <w:rPr>
          <w:rFonts w:hint="eastAsia" w:ascii="Times New Roman" w:hAnsi="Times New Roman" w:eastAsia="方正仿宋_GBK"/>
          <w:color w:val="262626"/>
          <w:kern w:val="0"/>
          <w:sz w:val="24"/>
          <w:lang w:eastAsia="zh-CN"/>
        </w:rPr>
      </w:pPr>
      <w:r>
        <w:rPr>
          <w:rFonts w:hint="eastAsia" w:ascii="Times New Roman" w:hAnsi="Times New Roman" w:eastAsia="方正仿宋_GBK"/>
          <w:color w:val="262626"/>
          <w:kern w:val="0"/>
          <w:sz w:val="24"/>
        </w:rPr>
        <w:t>作为负责任大国，中国在人工智能领域始终致力于做国际公共产品的提供者。我提出《全球人工智能治理倡议》以来，中方先后推动联合国大会协商一致通过人工智能能力建设国际合作决议，发布《人工智能能力建设普惠计划》和《“人工智能+”国际合作倡议》，倡议成立世界人工智能合作组织，源源不断贡献中国方案。</w:t>
      </w:r>
    </w:p>
    <w:p w14:paraId="1FBEFE8D">
      <w:pPr>
        <w:spacing w:line="480" w:lineRule="exact"/>
        <w:ind w:firstLine="480" w:firstLineChars="200"/>
        <w:rPr>
          <w:rFonts w:hint="eastAsia" w:ascii="Times New Roman" w:hAnsi="Times New Roman" w:eastAsia="方正仿宋_GBK"/>
          <w:color w:val="262626"/>
          <w:kern w:val="0"/>
          <w:sz w:val="24"/>
          <w:lang w:eastAsia="zh-CN"/>
        </w:rPr>
      </w:pPr>
      <w:r>
        <w:rPr>
          <w:rFonts w:hint="eastAsia" w:ascii="Times New Roman" w:hAnsi="Times New Roman" w:eastAsia="方正仿宋_GBK"/>
          <w:color w:val="262626"/>
          <w:kern w:val="0"/>
          <w:sz w:val="24"/>
        </w:rPr>
        <w:t>中国人常讲，单弦不成音，独木不成林。人工智能发展不应该是某个国家的独奏，而应当是全球合作的交响。在各方共同努力下，世界人工智能合作组织在上海应运而生，一年前的构想已经转化为实际成果。这是中方响应全球南方呼声、团结国际社会积极推动人工智能发展和治理的重大举措，将成为人工智能发展史上的一个重要里程碑。</w:t>
      </w:r>
    </w:p>
    <w:p w14:paraId="5203659E">
      <w:pPr>
        <w:spacing w:line="480" w:lineRule="exact"/>
        <w:ind w:firstLine="480" w:firstLineChars="200"/>
        <w:rPr>
          <w:rFonts w:hint="eastAsia" w:ascii="Times New Roman" w:hAnsi="Times New Roman" w:eastAsia="方正仿宋_GBK"/>
          <w:color w:val="262626"/>
          <w:kern w:val="0"/>
          <w:sz w:val="24"/>
          <w:lang w:eastAsia="zh-CN"/>
        </w:rPr>
      </w:pPr>
      <w:r>
        <w:rPr>
          <w:rFonts w:hint="eastAsia" w:ascii="Times New Roman" w:hAnsi="Times New Roman" w:eastAsia="方正仿宋_GBK"/>
          <w:color w:val="262626"/>
          <w:kern w:val="0"/>
          <w:sz w:val="24"/>
        </w:rPr>
        <w:t>为进一步支持全球人工智能发展、推进全球人工智能能力建设，我宣布，未来5年，中国将面向发展中国家提供5000个人工智能专题研修培训名额；面向东盟、阿盟、非盟、拉共体、上合组织、金砖国家建设国际人工智能应用合作中心；推动气象智能预警方案“妈祖”在30个国家落地应用，守望万家灯火，护佑四海安澜。</w:t>
      </w:r>
    </w:p>
    <w:p w14:paraId="703CF569">
      <w:pPr>
        <w:spacing w:line="480" w:lineRule="exact"/>
        <w:ind w:firstLine="480" w:firstLineChars="200"/>
        <w:rPr>
          <w:rFonts w:hint="eastAsia" w:ascii="Times New Roman" w:hAnsi="Times New Roman" w:eastAsia="方正仿宋_GBK"/>
          <w:color w:val="262626"/>
          <w:kern w:val="0"/>
          <w:sz w:val="24"/>
          <w:lang w:eastAsia="zh-CN"/>
        </w:rPr>
      </w:pPr>
      <w:r>
        <w:rPr>
          <w:rFonts w:hint="eastAsia" w:ascii="Times New Roman" w:hAnsi="Times New Roman" w:eastAsia="方正仿宋_GBK"/>
          <w:color w:val="262626"/>
          <w:kern w:val="0"/>
          <w:sz w:val="24"/>
        </w:rPr>
        <w:t>女士们、先生们、朋友们！</w:t>
      </w:r>
    </w:p>
    <w:p w14:paraId="3EB52BE7">
      <w:pPr>
        <w:spacing w:line="480" w:lineRule="exact"/>
        <w:ind w:firstLine="480" w:firstLineChars="200"/>
        <w:rPr>
          <w:rFonts w:hint="eastAsia" w:ascii="Times New Roman" w:hAnsi="Times New Roman" w:eastAsia="方正仿宋_GBK"/>
          <w:color w:val="262626"/>
          <w:kern w:val="0"/>
          <w:sz w:val="24"/>
          <w:lang w:eastAsia="zh-CN"/>
        </w:rPr>
      </w:pPr>
      <w:r>
        <w:rPr>
          <w:rFonts w:hint="eastAsia" w:ascii="Times New Roman" w:hAnsi="Times New Roman" w:eastAsia="方正仿宋_GBK"/>
          <w:color w:val="262626"/>
          <w:kern w:val="0"/>
          <w:sz w:val="24"/>
        </w:rPr>
        <w:t>“明者因时而变，知者随事而制。”人工智能技术发展越是一日千里，向上向善、造福人类的方向越要正确锚定，监管治理的尺度越要精准把握，防范失控的措施越要及时完善。要始终用人类智慧和国际共识引领人工智能发展，使其真正成为增进全人类福祉、推动人类文明进步的强大正能量。</w:t>
      </w:r>
    </w:p>
    <w:p w14:paraId="2E95A67B">
      <w:pPr>
        <w:spacing w:line="480" w:lineRule="exact"/>
        <w:ind w:firstLine="480" w:firstLineChars="200"/>
        <w:rPr>
          <w:rFonts w:hint="eastAsia" w:ascii="Times New Roman" w:hAnsi="Times New Roman" w:eastAsia="方正仿宋_GBK"/>
          <w:color w:val="262626"/>
          <w:kern w:val="0"/>
          <w:sz w:val="24"/>
          <w:lang w:eastAsia="zh-CN"/>
        </w:rPr>
      </w:pPr>
      <w:r>
        <w:rPr>
          <w:rFonts w:hint="eastAsia" w:ascii="Times New Roman" w:hAnsi="Times New Roman" w:eastAsia="方正仿宋_GBK"/>
          <w:color w:val="262626"/>
          <w:kern w:val="0"/>
          <w:sz w:val="24"/>
        </w:rPr>
        <w:t>中国愿以更加开放的姿态、更加务实的行动、更加长远的目光，同各方一道把握和应对人工智能发展的机遇和挑战，携手共创人类社会更加美好的未来！</w:t>
      </w:r>
    </w:p>
    <w:p w14:paraId="311CF156">
      <w:pPr>
        <w:spacing w:line="480" w:lineRule="exact"/>
        <w:ind w:firstLine="480" w:firstLineChars="200"/>
        <w:rPr>
          <w:rFonts w:ascii="Times New Roman" w:hAnsi="Times New Roman" w:eastAsia="方正仿宋_GBK"/>
          <w:color w:val="262626"/>
          <w:kern w:val="0"/>
          <w:sz w:val="24"/>
        </w:rPr>
      </w:pPr>
      <w:r>
        <w:rPr>
          <w:rFonts w:hint="eastAsia" w:ascii="Times New Roman" w:hAnsi="Times New Roman" w:eastAsia="方正仿宋_GBK"/>
          <w:color w:val="262626"/>
          <w:kern w:val="0"/>
          <w:sz w:val="24"/>
        </w:rPr>
        <w:t>谢谢大家！</w:t>
      </w:r>
      <w:r>
        <w:rPr>
          <w:rFonts w:ascii="Times New Roman" w:hAnsi="Times New Roman" w:eastAsia="方正仿宋_GBK"/>
          <w:color w:val="262626"/>
          <w:kern w:val="0"/>
          <w:sz w:val="24"/>
        </w:rPr>
        <w:br w:type="page"/>
      </w:r>
    </w:p>
    <w:p w14:paraId="6D1B8968">
      <w:pPr>
        <w:widowControl/>
        <w:spacing w:line="480" w:lineRule="exact"/>
        <w:ind w:right="2900"/>
        <w:rPr>
          <w:rFonts w:hint="default" w:ascii="Times New Roman" w:hAnsi="Times New Roman" w:eastAsia="方正黑体_GBK"/>
          <w:sz w:val="32"/>
          <w:szCs w:val="32"/>
          <w:lang w:val="en-US" w:eastAsia="zh-CN"/>
        </w:rPr>
      </w:pPr>
      <w:r>
        <w:rPr>
          <w:rFonts w:ascii="Times New Roman" w:hAnsi="Times New Roman" w:eastAsia="方正黑体_GBK"/>
          <w:sz w:val="32"/>
          <w:szCs w:val="32"/>
        </w:rPr>
        <w:t>附件</w:t>
      </w:r>
      <w:r>
        <w:rPr>
          <w:rFonts w:hint="eastAsia" w:ascii="Times New Roman" w:hAnsi="Times New Roman" w:eastAsia="方正黑体_GBK"/>
          <w:sz w:val="32"/>
          <w:szCs w:val="32"/>
          <w:lang w:val="en-US" w:eastAsia="zh-CN"/>
        </w:rPr>
        <w:t>5-1</w:t>
      </w:r>
    </w:p>
    <w:p w14:paraId="547347BA">
      <w:pPr>
        <w:widowControl/>
        <w:spacing w:line="480" w:lineRule="exact"/>
        <w:jc w:val="center"/>
        <w:rPr>
          <w:rFonts w:ascii="Times New Roman" w:hAnsi="Times New Roman" w:eastAsia="方正小标宋_GBK"/>
          <w:color w:val="000000"/>
          <w:kern w:val="0"/>
          <w:sz w:val="36"/>
          <w:szCs w:val="36"/>
        </w:rPr>
      </w:pPr>
    </w:p>
    <w:p w14:paraId="4652731F">
      <w:pPr>
        <w:widowControl/>
        <w:spacing w:line="480" w:lineRule="exact"/>
        <w:jc w:val="center"/>
        <w:rPr>
          <w:rFonts w:hint="eastAsia" w:ascii="Times New Roman" w:hAnsi="Times New Roman" w:eastAsia="方正小标宋_GBK"/>
          <w:color w:val="000000"/>
          <w:kern w:val="0"/>
          <w:sz w:val="36"/>
          <w:szCs w:val="36"/>
        </w:rPr>
      </w:pPr>
      <w:r>
        <w:rPr>
          <w:rFonts w:hint="eastAsia" w:ascii="Times New Roman" w:hAnsi="Times New Roman" w:eastAsia="方正小标宋_GBK"/>
          <w:color w:val="000000"/>
          <w:kern w:val="0"/>
          <w:sz w:val="36"/>
          <w:szCs w:val="36"/>
        </w:rPr>
        <w:t>《求是》杂志发表习近平总书记重要文章</w:t>
      </w:r>
    </w:p>
    <w:p w14:paraId="6593889A">
      <w:pPr>
        <w:widowControl/>
        <w:spacing w:line="480" w:lineRule="exact"/>
        <w:jc w:val="center"/>
        <w:rPr>
          <w:rFonts w:ascii="Times New Roman" w:hAnsi="Times New Roman" w:eastAsia="方正小标宋_GBK"/>
          <w:color w:val="000000"/>
          <w:kern w:val="0"/>
          <w:sz w:val="36"/>
          <w:szCs w:val="36"/>
        </w:rPr>
      </w:pPr>
      <w:r>
        <w:rPr>
          <w:rFonts w:hint="eastAsia" w:ascii="Times New Roman" w:hAnsi="Times New Roman" w:eastAsia="方正小标宋_GBK"/>
          <w:color w:val="000000"/>
          <w:kern w:val="0"/>
          <w:sz w:val="36"/>
          <w:szCs w:val="36"/>
        </w:rPr>
        <w:t>《提高防灾减灾救灾能力》</w:t>
      </w:r>
    </w:p>
    <w:p w14:paraId="67EC7A92">
      <w:pPr>
        <w:widowControl/>
        <w:spacing w:line="480" w:lineRule="exact"/>
        <w:jc w:val="center"/>
        <w:rPr>
          <w:rFonts w:ascii="方正楷体_GBK" w:hAnsi="Times New Roman" w:eastAsia="方正楷体_GBK"/>
          <w:b/>
          <w:sz w:val="24"/>
        </w:rPr>
      </w:pPr>
      <w:r>
        <w:rPr>
          <w:rFonts w:hint="eastAsia" w:ascii="方正楷体_GBK" w:hAnsi="Times New Roman" w:eastAsia="方正楷体_GBK"/>
          <w:b/>
          <w:sz w:val="24"/>
        </w:rPr>
        <w:t xml:space="preserve">（来源：“学习强国”学习平台 </w:t>
      </w:r>
      <w:r>
        <w:rPr>
          <w:rFonts w:ascii="方正楷体_GBK" w:hAnsi="Times New Roman" w:eastAsia="方正楷体_GBK"/>
          <w:b/>
          <w:sz w:val="24"/>
        </w:rPr>
        <w:t xml:space="preserve">     </w:t>
      </w:r>
      <w:r>
        <w:rPr>
          <w:rFonts w:hint="eastAsia" w:ascii="方正楷体_GBK" w:hAnsi="Times New Roman" w:eastAsia="方正楷体_GBK"/>
          <w:b/>
          <w:sz w:val="24"/>
        </w:rPr>
        <w:t>发布时间：202</w:t>
      </w:r>
      <w:r>
        <w:rPr>
          <w:rFonts w:ascii="方正楷体_GBK" w:hAnsi="Times New Roman" w:eastAsia="方正楷体_GBK"/>
          <w:b/>
          <w:sz w:val="24"/>
        </w:rPr>
        <w:t>6</w:t>
      </w:r>
      <w:r>
        <w:rPr>
          <w:rFonts w:hint="eastAsia" w:ascii="方正楷体_GBK" w:hAnsi="Times New Roman" w:eastAsia="方正楷体_GBK"/>
          <w:b/>
          <w:sz w:val="24"/>
        </w:rPr>
        <w:t>-</w:t>
      </w:r>
      <w:r>
        <w:rPr>
          <w:rFonts w:ascii="方正楷体_GBK" w:hAnsi="Times New Roman" w:eastAsia="方正楷体_GBK"/>
          <w:b/>
          <w:sz w:val="24"/>
        </w:rPr>
        <w:t>0</w:t>
      </w:r>
      <w:r>
        <w:rPr>
          <w:rFonts w:hint="eastAsia" w:ascii="方正楷体_GBK" w:hAnsi="Times New Roman" w:eastAsia="方正楷体_GBK"/>
          <w:b/>
          <w:sz w:val="24"/>
          <w:lang w:val="en-US" w:eastAsia="zh-CN"/>
        </w:rPr>
        <w:t>8</w:t>
      </w:r>
      <w:r>
        <w:rPr>
          <w:rFonts w:hint="eastAsia" w:ascii="方正楷体_GBK" w:hAnsi="Times New Roman" w:eastAsia="方正楷体_GBK"/>
          <w:b/>
          <w:sz w:val="24"/>
        </w:rPr>
        <w:t>-</w:t>
      </w:r>
      <w:r>
        <w:rPr>
          <w:rFonts w:ascii="方正楷体_GBK" w:hAnsi="Times New Roman" w:eastAsia="方正楷体_GBK"/>
          <w:b/>
          <w:sz w:val="24"/>
        </w:rPr>
        <w:t>15</w:t>
      </w:r>
      <w:r>
        <w:rPr>
          <w:rFonts w:hint="eastAsia" w:ascii="方正楷体_GBK" w:hAnsi="Times New Roman" w:eastAsia="方正楷体_GBK"/>
          <w:b/>
          <w:sz w:val="24"/>
        </w:rPr>
        <w:t>）</w:t>
      </w:r>
    </w:p>
    <w:p w14:paraId="7B4DF2FD">
      <w:pPr>
        <w:spacing w:line="480" w:lineRule="exact"/>
        <w:ind w:firstLine="480" w:firstLineChars="200"/>
        <w:rPr>
          <w:rFonts w:ascii="Times New Roman" w:hAnsi="Times New Roman" w:eastAsia="方正仿宋_GBK"/>
          <w:color w:val="262626"/>
          <w:kern w:val="0"/>
          <w:sz w:val="24"/>
        </w:rPr>
      </w:pPr>
    </w:p>
    <w:p w14:paraId="610C319B">
      <w:pPr>
        <w:spacing w:line="480" w:lineRule="exact"/>
        <w:ind w:firstLine="480" w:firstLineChars="200"/>
        <w:rPr>
          <w:rFonts w:hint="eastAsia" w:ascii="Times New Roman" w:hAnsi="Times New Roman" w:eastAsia="方正仿宋_GBK"/>
          <w:color w:val="262626"/>
          <w:kern w:val="0"/>
          <w:sz w:val="24"/>
          <w:lang w:eastAsia="zh-CN"/>
        </w:rPr>
      </w:pPr>
      <w:r>
        <w:rPr>
          <w:rFonts w:hint="eastAsia" w:ascii="Times New Roman" w:hAnsi="Times New Roman" w:eastAsia="方正仿宋_GBK"/>
          <w:color w:val="262626"/>
          <w:kern w:val="0"/>
          <w:sz w:val="24"/>
        </w:rPr>
        <w:t>新华社北京8月15日电 8月16日出版的第16期《求是》杂志将发表中共中央总书记、国家主席、中央军委主席习近平的重要文章《提高防灾减灾救灾能力》。</w:t>
      </w:r>
    </w:p>
    <w:p w14:paraId="4771A91E">
      <w:pPr>
        <w:spacing w:line="480" w:lineRule="exact"/>
        <w:ind w:firstLine="480" w:firstLineChars="200"/>
        <w:rPr>
          <w:rFonts w:hint="eastAsia" w:ascii="Times New Roman" w:hAnsi="Times New Roman" w:eastAsia="方正仿宋_GBK"/>
          <w:color w:val="262626"/>
          <w:kern w:val="0"/>
          <w:sz w:val="24"/>
          <w:lang w:eastAsia="zh-CN"/>
        </w:rPr>
      </w:pPr>
      <w:r>
        <w:rPr>
          <w:rFonts w:hint="eastAsia" w:ascii="Times New Roman" w:hAnsi="Times New Roman" w:eastAsia="方正仿宋_GBK"/>
          <w:color w:val="262626"/>
          <w:kern w:val="0"/>
          <w:sz w:val="24"/>
        </w:rPr>
        <w:t>文章强调，我国国土广袤、地理复杂、气候多样，自然灾害易发多发。党的十八大以来，党中央坚持把防灾减灾救灾工作作为关系人民安危和国家安全的大事来抓，在理念转变、体制改革、体系建设、能力提升等方面作出许多部署，带领广大干部群众战胜一系列重特大自然灾害，最大限度减少人员伤亡和财产损失，成效举世公认。做好防灾减灾救灾工作，必须坚持党的全面领导，坚持人民至上、生命至上，坚持尊重自然规律，坚持预防为主，坚持改革创新，坚持系统观念，坚持社会共治。这些宝贵经验要坚持好运用好，并结合新的实际不断丰富和发展。</w:t>
      </w:r>
    </w:p>
    <w:p w14:paraId="2B91F8AF">
      <w:pPr>
        <w:spacing w:line="480" w:lineRule="exact"/>
        <w:ind w:firstLine="480" w:firstLineChars="200"/>
        <w:rPr>
          <w:rFonts w:hint="eastAsia" w:ascii="Times New Roman" w:hAnsi="Times New Roman" w:eastAsia="方正仿宋_GBK"/>
          <w:color w:val="262626"/>
          <w:kern w:val="0"/>
          <w:sz w:val="24"/>
          <w:lang w:eastAsia="zh-CN"/>
        </w:rPr>
      </w:pPr>
      <w:r>
        <w:rPr>
          <w:rFonts w:hint="eastAsia" w:ascii="Times New Roman" w:hAnsi="Times New Roman" w:eastAsia="方正仿宋_GBK"/>
          <w:color w:val="262626"/>
          <w:kern w:val="0"/>
          <w:sz w:val="24"/>
        </w:rPr>
        <w:t>文章指出，当前，我国防灾减灾救灾工作面临不少新情况新问题。要站在统筹高质量发展和高水平安全的战略高度，充分认识做好防灾减灾救灾工作的极端重要性，着力扬优势、补短板、强弱项，不断提高防范应对各类自然灾害的能力和水平，切实维护人民群众生命财产安全和社会稳定，确保中国式现代化行稳致远。</w:t>
      </w:r>
    </w:p>
    <w:p w14:paraId="4B6F1CBD">
      <w:pPr>
        <w:spacing w:line="480" w:lineRule="exact"/>
        <w:ind w:firstLine="480" w:firstLineChars="200"/>
        <w:rPr>
          <w:rFonts w:hint="eastAsia" w:ascii="Times New Roman" w:hAnsi="Times New Roman" w:eastAsia="方正仿宋_GBK"/>
          <w:color w:val="262626"/>
          <w:kern w:val="0"/>
          <w:sz w:val="24"/>
          <w:lang w:eastAsia="zh-CN"/>
        </w:rPr>
      </w:pPr>
      <w:r>
        <w:rPr>
          <w:rFonts w:hint="eastAsia" w:ascii="Times New Roman" w:hAnsi="Times New Roman" w:eastAsia="方正仿宋_GBK"/>
          <w:color w:val="262626"/>
          <w:kern w:val="0"/>
          <w:sz w:val="24"/>
        </w:rPr>
        <w:t>文章指出，要推动灾害治理向事前预防转型。坚持源头管控，将安全韧性要求贯穿国土空间规划及各类建设规划之中，有效规避自然灾害风险。加强隐患排查，系统梳理、精准识别各类灾害风险。强化工程治理，合理提高重要城市和灾害多发地区关键基础设施设防标准，加紧补齐北方地区防洪排涝抗灾基础设施短板。加强对高风险地段的重点防控，有效压降存量风险、遏制新增风险。</w:t>
      </w:r>
    </w:p>
    <w:p w14:paraId="653B64D3">
      <w:pPr>
        <w:spacing w:line="480" w:lineRule="exact"/>
        <w:ind w:firstLine="480" w:firstLineChars="200"/>
        <w:rPr>
          <w:rFonts w:hint="eastAsia" w:ascii="Times New Roman" w:hAnsi="Times New Roman" w:eastAsia="方正仿宋_GBK"/>
          <w:color w:val="262626"/>
          <w:kern w:val="0"/>
          <w:sz w:val="24"/>
          <w:lang w:eastAsia="zh-CN"/>
        </w:rPr>
      </w:pPr>
      <w:r>
        <w:rPr>
          <w:rFonts w:hint="eastAsia" w:ascii="Times New Roman" w:hAnsi="Times New Roman" w:eastAsia="方正仿宋_GBK"/>
          <w:color w:val="262626"/>
          <w:kern w:val="0"/>
          <w:sz w:val="24"/>
        </w:rPr>
        <w:t>文章指出，要提升大灾巨灾应对处置能力。树牢底线思维、极限思维，深入研判大灾巨灾风险，不断完善应急预案，把困难和挑战估计得更充分一些，把工作举措考虑得更周全一些。健全监测预警体系，提高预警的及时性、精准性、通达性。健全大安全大应急框架下应急指挥机制，确保关键时刻拉得出、冲得上、打得赢。统筹做好综合救援、过渡安置和恢复重建工作，防止自然灾害风险传导和扩散。我们是社会主义国家，一定要在每一次大灾大考中交出优异答卷，充分彰显社会主义制度的优越性。</w:t>
      </w:r>
    </w:p>
    <w:p w14:paraId="1F317300">
      <w:pPr>
        <w:spacing w:line="480" w:lineRule="exact"/>
        <w:ind w:firstLine="480" w:firstLineChars="200"/>
        <w:rPr>
          <w:rFonts w:hint="eastAsia" w:ascii="Times New Roman" w:hAnsi="Times New Roman" w:eastAsia="方正仿宋_GBK"/>
          <w:color w:val="262626"/>
          <w:kern w:val="0"/>
          <w:sz w:val="24"/>
          <w:lang w:eastAsia="zh-CN"/>
        </w:rPr>
      </w:pPr>
      <w:r>
        <w:rPr>
          <w:rFonts w:hint="eastAsia" w:ascii="Times New Roman" w:hAnsi="Times New Roman" w:eastAsia="方正仿宋_GBK"/>
          <w:color w:val="262626"/>
          <w:kern w:val="0"/>
          <w:sz w:val="24"/>
        </w:rPr>
        <w:t>文章指出，要强化科技支撑和法治保障。科技方面，要充分发挥新型举国体制优势，推动应急领域科技创新和产业创新，加强应急学科建设和人才培养，深入开展自然灾害基础研究，推进关键技术攻关，深化国际防灾减灾救灾科技交流合作。法治方面，要健全应急领域法治体系，把完善立法和严格执法结合起来，进一步提升防灾减灾救灾法治化水平。</w:t>
      </w:r>
    </w:p>
    <w:p w14:paraId="2C79E9ED">
      <w:pPr>
        <w:spacing w:line="480" w:lineRule="exact"/>
        <w:ind w:firstLine="480" w:firstLineChars="200"/>
        <w:rPr>
          <w:rFonts w:hint="eastAsia" w:ascii="Times New Roman" w:hAnsi="Times New Roman" w:eastAsia="方正仿宋_GBK"/>
          <w:color w:val="262626"/>
          <w:kern w:val="0"/>
          <w:sz w:val="24"/>
          <w:lang w:eastAsia="zh-CN"/>
        </w:rPr>
      </w:pPr>
      <w:r>
        <w:rPr>
          <w:rFonts w:hint="eastAsia" w:ascii="Times New Roman" w:hAnsi="Times New Roman" w:eastAsia="方正仿宋_GBK"/>
          <w:color w:val="262626"/>
          <w:kern w:val="0"/>
          <w:sz w:val="24"/>
        </w:rPr>
        <w:t>文章指出，要夯实防灾减灾救灾基层基础。基层是抵御自然灾害的第一线，抓基层、强基础的工作始终不能放松。要完善基层应急救援力量体系，强化应急场所建设和物资装备保障。鼓励和支持社会应急力量建设，完善群测群防群治体系。加大防灾减灾救灾科普宣传力度，提高全民防灾避险意识和能力。</w:t>
      </w:r>
    </w:p>
    <w:p w14:paraId="4D42CE09">
      <w:pPr>
        <w:spacing w:line="480" w:lineRule="exact"/>
        <w:ind w:firstLine="480" w:firstLineChars="200"/>
        <w:rPr>
          <w:rFonts w:hint="eastAsia" w:ascii="Times New Roman" w:hAnsi="Times New Roman" w:eastAsia="方正仿宋_GBK"/>
          <w:color w:val="262626"/>
          <w:kern w:val="0"/>
          <w:sz w:val="24"/>
          <w:lang w:eastAsia="zh-CN"/>
        </w:rPr>
      </w:pPr>
      <w:r>
        <w:rPr>
          <w:rFonts w:hint="eastAsia" w:ascii="Times New Roman" w:hAnsi="Times New Roman" w:eastAsia="方正仿宋_GBK"/>
          <w:color w:val="262626"/>
          <w:kern w:val="0"/>
          <w:sz w:val="24"/>
        </w:rPr>
        <w:t>文章指出，要认真抓好责任落实。防灾减灾救灾涉及多个部门、多个灾种、多个环节，必须明晰职责分工，扣紧责任链条，攥指成拳形成合力。各地区各有关部门要守土尽责，坚持统分结合、防救衔接、上下联动，推动形成齐抓共管、协同配合的工作格局。</w:t>
      </w:r>
    </w:p>
    <w:p w14:paraId="55E74F4C">
      <w:pPr>
        <w:spacing w:line="480" w:lineRule="exact"/>
        <w:ind w:firstLine="480" w:firstLineChars="200"/>
        <w:rPr>
          <w:rFonts w:ascii="Times New Roman" w:hAnsi="Times New Roman" w:eastAsia="方正仿宋_GBK"/>
          <w:color w:val="262626"/>
          <w:kern w:val="0"/>
          <w:sz w:val="24"/>
        </w:rPr>
      </w:pPr>
      <w:r>
        <w:rPr>
          <w:rFonts w:hint="eastAsia" w:ascii="Times New Roman" w:hAnsi="Times New Roman" w:eastAsia="方正仿宋_GBK"/>
          <w:color w:val="262626"/>
          <w:kern w:val="0"/>
          <w:sz w:val="24"/>
        </w:rPr>
        <w:t>文章强调，做好防灾减灾救灾工作，要树立和践行正确政绩观，坚决纠正重发展轻安全、重救灾轻预防等倾向。要加强教育培训，着力提高各级干部的防灾减灾救灾能力，确保认识到位、责任到位、工作到位。</w:t>
      </w:r>
    </w:p>
    <w:p w14:paraId="25DA0475">
      <w:pPr>
        <w:widowControl/>
        <w:spacing w:line="480" w:lineRule="exact"/>
        <w:jc w:val="right"/>
        <w:rPr>
          <w:rFonts w:ascii="Times New Roman" w:hAnsi="Times New Roman" w:eastAsia="方正仿宋_GBK"/>
          <w:color w:val="262626"/>
          <w:kern w:val="0"/>
          <w:sz w:val="24"/>
        </w:rPr>
      </w:pPr>
      <w:r>
        <w:rPr>
          <w:rFonts w:ascii="Times New Roman" w:hAnsi="Times New Roman" w:eastAsia="方正仿宋_GBK"/>
          <w:color w:val="262626"/>
          <w:kern w:val="0"/>
          <w:sz w:val="24"/>
        </w:rPr>
        <w:br w:type="page"/>
      </w:r>
    </w:p>
    <w:p w14:paraId="4D74ABF7">
      <w:pPr>
        <w:widowControl/>
        <w:spacing w:line="480" w:lineRule="exact"/>
        <w:ind w:right="2900"/>
        <w:rPr>
          <w:rFonts w:hint="default" w:ascii="Times New Roman" w:hAnsi="Times New Roman" w:eastAsia="方正黑体_GBK"/>
          <w:sz w:val="32"/>
          <w:szCs w:val="32"/>
          <w:lang w:val="en-US" w:eastAsia="zh-CN"/>
        </w:rPr>
      </w:pPr>
      <w:r>
        <w:rPr>
          <w:rFonts w:ascii="Times New Roman" w:hAnsi="Times New Roman" w:eastAsia="方正黑体_GBK"/>
          <w:sz w:val="32"/>
          <w:szCs w:val="32"/>
        </w:rPr>
        <w:t>附件</w:t>
      </w:r>
      <w:r>
        <w:rPr>
          <w:rFonts w:hint="eastAsia" w:ascii="Times New Roman" w:hAnsi="Times New Roman" w:eastAsia="方正黑体_GBK"/>
          <w:sz w:val="32"/>
          <w:szCs w:val="32"/>
          <w:lang w:val="en-US" w:eastAsia="zh-CN"/>
        </w:rPr>
        <w:t>5-2</w:t>
      </w:r>
    </w:p>
    <w:p w14:paraId="0FF60A36">
      <w:pPr>
        <w:widowControl/>
        <w:spacing w:line="480" w:lineRule="exact"/>
        <w:jc w:val="center"/>
        <w:rPr>
          <w:rFonts w:ascii="Times New Roman" w:hAnsi="Times New Roman" w:eastAsia="方正小标宋_GBK"/>
          <w:color w:val="000000"/>
          <w:kern w:val="0"/>
          <w:sz w:val="36"/>
          <w:szCs w:val="36"/>
        </w:rPr>
      </w:pPr>
    </w:p>
    <w:p w14:paraId="75ABC9B9">
      <w:pPr>
        <w:widowControl/>
        <w:spacing w:line="480" w:lineRule="exact"/>
        <w:jc w:val="center"/>
        <w:rPr>
          <w:rFonts w:ascii="Times New Roman" w:hAnsi="Times New Roman" w:eastAsia="方正小标宋_GBK"/>
          <w:color w:val="000000"/>
          <w:kern w:val="0"/>
          <w:sz w:val="36"/>
          <w:szCs w:val="36"/>
        </w:rPr>
      </w:pPr>
      <w:r>
        <w:rPr>
          <w:rFonts w:hint="eastAsia" w:ascii="Times New Roman" w:hAnsi="Times New Roman" w:eastAsia="方正小标宋_GBK"/>
          <w:color w:val="000000"/>
          <w:kern w:val="0"/>
          <w:sz w:val="36"/>
          <w:szCs w:val="36"/>
        </w:rPr>
        <w:t>《求是》杂志发表习近平总书记重要文章</w:t>
      </w:r>
    </w:p>
    <w:p w14:paraId="6CF2672C">
      <w:pPr>
        <w:widowControl/>
        <w:spacing w:line="480" w:lineRule="exact"/>
        <w:jc w:val="center"/>
        <w:rPr>
          <w:rFonts w:ascii="Times New Roman" w:hAnsi="Times New Roman" w:eastAsia="方正小标宋_GBK"/>
          <w:color w:val="000000"/>
          <w:kern w:val="0"/>
          <w:sz w:val="36"/>
          <w:szCs w:val="36"/>
        </w:rPr>
      </w:pPr>
      <w:r>
        <w:rPr>
          <w:rFonts w:hint="eastAsia" w:ascii="Times New Roman" w:hAnsi="Times New Roman" w:eastAsia="方正小标宋_GBK"/>
          <w:color w:val="000000"/>
          <w:kern w:val="0"/>
          <w:sz w:val="36"/>
          <w:szCs w:val="36"/>
        </w:rPr>
        <w:t>《加快建设健康中国》</w:t>
      </w:r>
    </w:p>
    <w:p w14:paraId="2A6CED9C">
      <w:pPr>
        <w:widowControl/>
        <w:spacing w:line="480" w:lineRule="exact"/>
        <w:jc w:val="center"/>
        <w:rPr>
          <w:rFonts w:ascii="方正楷体_GBK" w:hAnsi="Times New Roman" w:eastAsia="方正楷体_GBK"/>
          <w:b/>
          <w:sz w:val="24"/>
        </w:rPr>
      </w:pPr>
      <w:r>
        <w:rPr>
          <w:rFonts w:hint="eastAsia" w:ascii="方正楷体_GBK" w:hAnsi="Times New Roman" w:eastAsia="方正楷体_GBK"/>
          <w:b/>
          <w:sz w:val="24"/>
        </w:rPr>
        <w:t xml:space="preserve">（来源：“学习强国”学习平台 </w:t>
      </w:r>
      <w:r>
        <w:rPr>
          <w:rFonts w:ascii="方正楷体_GBK" w:hAnsi="Times New Roman" w:eastAsia="方正楷体_GBK"/>
          <w:b/>
          <w:sz w:val="24"/>
        </w:rPr>
        <w:t xml:space="preserve">     </w:t>
      </w:r>
      <w:r>
        <w:rPr>
          <w:rFonts w:hint="eastAsia" w:ascii="方正楷体_GBK" w:hAnsi="Times New Roman" w:eastAsia="方正楷体_GBK"/>
          <w:b/>
          <w:sz w:val="24"/>
        </w:rPr>
        <w:t>发布时间：202</w:t>
      </w:r>
      <w:r>
        <w:rPr>
          <w:rFonts w:ascii="方正楷体_GBK" w:hAnsi="Times New Roman" w:eastAsia="方正楷体_GBK"/>
          <w:b/>
          <w:sz w:val="24"/>
        </w:rPr>
        <w:t>6</w:t>
      </w:r>
      <w:r>
        <w:rPr>
          <w:rFonts w:hint="eastAsia" w:ascii="方正楷体_GBK" w:hAnsi="Times New Roman" w:eastAsia="方正楷体_GBK"/>
          <w:b/>
          <w:sz w:val="24"/>
        </w:rPr>
        <w:t>-</w:t>
      </w:r>
      <w:r>
        <w:rPr>
          <w:rFonts w:ascii="方正楷体_GBK" w:hAnsi="Times New Roman" w:eastAsia="方正楷体_GBK"/>
          <w:b/>
          <w:sz w:val="24"/>
        </w:rPr>
        <w:t>0</w:t>
      </w:r>
      <w:r>
        <w:rPr>
          <w:rFonts w:hint="eastAsia" w:ascii="方正楷体_GBK" w:hAnsi="Times New Roman" w:eastAsia="方正楷体_GBK"/>
          <w:b/>
          <w:sz w:val="24"/>
          <w:lang w:val="en-US" w:eastAsia="zh-CN"/>
        </w:rPr>
        <w:t>8</w:t>
      </w:r>
      <w:r>
        <w:rPr>
          <w:rFonts w:hint="eastAsia" w:ascii="方正楷体_GBK" w:hAnsi="Times New Roman" w:eastAsia="方正楷体_GBK"/>
          <w:b/>
          <w:sz w:val="24"/>
        </w:rPr>
        <w:t>-</w:t>
      </w:r>
      <w:r>
        <w:rPr>
          <w:rFonts w:hint="eastAsia" w:ascii="方正楷体_GBK" w:hAnsi="Times New Roman" w:eastAsia="方正楷体_GBK"/>
          <w:b/>
          <w:sz w:val="24"/>
          <w:lang w:val="en-US" w:eastAsia="zh-CN"/>
        </w:rPr>
        <w:t>2</w:t>
      </w:r>
      <w:r>
        <w:rPr>
          <w:rFonts w:ascii="方正楷体_GBK" w:hAnsi="Times New Roman" w:eastAsia="方正楷体_GBK"/>
          <w:b/>
          <w:sz w:val="24"/>
        </w:rPr>
        <w:t>1</w:t>
      </w:r>
      <w:r>
        <w:rPr>
          <w:rFonts w:hint="eastAsia" w:ascii="方正楷体_GBK" w:hAnsi="Times New Roman" w:eastAsia="方正楷体_GBK"/>
          <w:b/>
          <w:sz w:val="24"/>
        </w:rPr>
        <w:t>）</w:t>
      </w:r>
    </w:p>
    <w:p w14:paraId="2FE43F6E">
      <w:pPr>
        <w:spacing w:line="480" w:lineRule="exact"/>
        <w:ind w:firstLine="480" w:firstLineChars="200"/>
        <w:rPr>
          <w:rFonts w:ascii="Times New Roman" w:hAnsi="Times New Roman" w:eastAsia="方正仿宋_GBK"/>
          <w:color w:val="262626"/>
          <w:kern w:val="0"/>
          <w:sz w:val="24"/>
        </w:rPr>
      </w:pPr>
    </w:p>
    <w:p w14:paraId="38FDFE9C">
      <w:pPr>
        <w:spacing w:line="480" w:lineRule="exact"/>
        <w:ind w:firstLine="480" w:firstLineChars="200"/>
        <w:rPr>
          <w:rFonts w:hint="eastAsia" w:ascii="Times New Roman" w:hAnsi="Times New Roman" w:eastAsia="方正仿宋_GBK"/>
          <w:color w:val="262626"/>
          <w:kern w:val="0"/>
          <w:sz w:val="24"/>
        </w:rPr>
      </w:pPr>
      <w:r>
        <w:rPr>
          <w:rFonts w:hint="eastAsia" w:ascii="Times New Roman" w:hAnsi="Times New Roman" w:eastAsia="方正仿宋_GBK"/>
          <w:color w:val="262626"/>
          <w:kern w:val="0"/>
          <w:sz w:val="24"/>
        </w:rPr>
        <w:t>8月1日出版的第15期《求是》杂志将发表中共中央总书记、国家主席、中央军委主席习近平的重要文章《加快建设健康中国》。</w:t>
      </w:r>
    </w:p>
    <w:p w14:paraId="0FC0FDF4">
      <w:pPr>
        <w:spacing w:line="480" w:lineRule="exact"/>
        <w:ind w:firstLine="480" w:firstLineChars="200"/>
        <w:rPr>
          <w:rFonts w:hint="eastAsia" w:ascii="Times New Roman" w:hAnsi="Times New Roman" w:eastAsia="方正仿宋_GBK"/>
          <w:color w:val="262626"/>
          <w:kern w:val="0"/>
          <w:sz w:val="24"/>
        </w:rPr>
      </w:pPr>
      <w:r>
        <w:rPr>
          <w:rFonts w:hint="eastAsia" w:ascii="Times New Roman" w:hAnsi="Times New Roman" w:eastAsia="方正仿宋_GBK"/>
          <w:color w:val="262626"/>
          <w:kern w:val="0"/>
          <w:sz w:val="24"/>
        </w:rPr>
        <w:t>文章强调，到2035年建成健康中国，是中央作出的一项战略决策。“十五五”是实现这一目标的关键时期，必须统筹谋划、加紧推进，力求取得决定性进展。</w:t>
      </w:r>
    </w:p>
    <w:p w14:paraId="1A6C2DF9">
      <w:pPr>
        <w:spacing w:line="480" w:lineRule="exact"/>
        <w:ind w:firstLine="480" w:firstLineChars="200"/>
        <w:rPr>
          <w:rFonts w:hint="eastAsia" w:ascii="Times New Roman" w:hAnsi="Times New Roman" w:eastAsia="方正仿宋_GBK"/>
          <w:color w:val="262626"/>
          <w:kern w:val="0"/>
          <w:sz w:val="24"/>
        </w:rPr>
      </w:pPr>
      <w:r>
        <w:rPr>
          <w:rFonts w:hint="eastAsia" w:ascii="Times New Roman" w:hAnsi="Times New Roman" w:eastAsia="方正仿宋_GBK"/>
          <w:color w:val="262626"/>
          <w:kern w:val="0"/>
          <w:sz w:val="24"/>
        </w:rPr>
        <w:t>文章指出，要坚持从我国国情出发推动卫生与健康事业发展。我国是社会主义国家，是人口规模巨大、城乡区域差距仍然较大的发展中国家，这决定我们必须坚持党对卫生与健康工作的领导，坚持人民至上、生命至上，坚持健康优先发展战略，坚持基本医疗卫生事业的公益性，走中国特色卫生与健康发展道路。2016年中央明确提出新时代卫生与健康工作方针，即以基层为重点，以改革创新为动力，预防为主，中西医并重，把健康融入所有政策，人民共建共享。新时代以来我国卫生与健康事业发展取得的历史性成就，充分证明这些要求符合我国国情，是完全正确的。当前和今后一个时期，我国卫生与健康工作需要因应形势发展变化，优化完善一些具体政策举措，但是走中国特色卫生与健康发展道路不能动摇，贯彻新时代卫生与健康工作方针不能动摇。在这些根本问题上，必须始终头脑清醒、保持战略定力。</w:t>
      </w:r>
    </w:p>
    <w:p w14:paraId="703D5966">
      <w:pPr>
        <w:spacing w:line="480" w:lineRule="exact"/>
        <w:ind w:firstLine="480" w:firstLineChars="200"/>
        <w:rPr>
          <w:rFonts w:hint="eastAsia" w:ascii="Times New Roman" w:hAnsi="Times New Roman" w:eastAsia="方正仿宋_GBK"/>
          <w:color w:val="262626"/>
          <w:kern w:val="0"/>
          <w:sz w:val="24"/>
        </w:rPr>
      </w:pPr>
      <w:r>
        <w:rPr>
          <w:rFonts w:hint="eastAsia" w:ascii="Times New Roman" w:hAnsi="Times New Roman" w:eastAsia="方正仿宋_GBK"/>
          <w:color w:val="262626"/>
          <w:kern w:val="0"/>
          <w:sz w:val="24"/>
        </w:rPr>
        <w:t>文章指出，要突出重点推进健康中国建设。健康中国建设是一项系统工程。面对人民群众日益增长的多元化卫生健康需求，要紧紧抓住那些惠及面广、牵一发而动全身、对整个卫生与健康事业有重大影响的工作，集中力量和资源推动，不断取得新的成效。要健全公共卫生体系，深化社会共治、医防协同、医防融合，强化传染病预防控制、监测预警、医疗救治、应急处置、物资保障和监督管理。建设优质高效医疗服务体系，实施医疗卫生强基工程，推进中西医结合，扩大康复护理和安宁疗护等服务供给。倡导健康文明的生活方式，进一步提高全民健康素养。</w:t>
      </w:r>
    </w:p>
    <w:p w14:paraId="4F284469">
      <w:pPr>
        <w:spacing w:line="480" w:lineRule="exact"/>
        <w:ind w:firstLine="480" w:firstLineChars="200"/>
        <w:rPr>
          <w:rFonts w:ascii="Times New Roman" w:hAnsi="Times New Roman" w:eastAsia="方正仿宋_GBK"/>
          <w:color w:val="262626"/>
          <w:kern w:val="0"/>
          <w:sz w:val="24"/>
        </w:rPr>
      </w:pPr>
      <w:r>
        <w:rPr>
          <w:rFonts w:hint="eastAsia" w:ascii="Times New Roman" w:hAnsi="Times New Roman" w:eastAsia="方正仿宋_GBK"/>
          <w:color w:val="262626"/>
          <w:kern w:val="0"/>
          <w:sz w:val="24"/>
        </w:rPr>
        <w:t>文章指出，要为健康中国建设提供有力保障。健全党委统一领导、党政齐抓共管的工作格局，完善健康促进政策制度体系，将健康理念融入公共政策制定实施的全过程。深化公立医院改革和医保支付方式改革，完善医疗、医保、医药协同发展和治理机制。推动科技创新成果在卫生健康领域转化运用，推进全民健康数智化建设。加强卫生健康行业的党建工作，调动广大医务人员的积极性主动性创造性，弘扬优良医德医风，着力营造风清气正的行业环境。</w:t>
      </w:r>
    </w:p>
    <w:p w14:paraId="50029487">
      <w:pPr>
        <w:widowControl/>
        <w:jc w:val="left"/>
        <w:rPr>
          <w:rFonts w:ascii="Times New Roman" w:hAnsi="Times New Roman" w:eastAsia="方正仿宋_GBK"/>
          <w:color w:val="262626"/>
          <w:kern w:val="0"/>
          <w:sz w:val="24"/>
        </w:rPr>
      </w:pPr>
      <w:r>
        <w:rPr>
          <w:rFonts w:ascii="Times New Roman" w:hAnsi="Times New Roman" w:eastAsia="方正仿宋_GBK"/>
          <w:color w:val="262626"/>
          <w:kern w:val="0"/>
          <w:sz w:val="24"/>
        </w:rPr>
        <w:br w:type="page"/>
      </w:r>
    </w:p>
    <w:p w14:paraId="2BF63ED2">
      <w:pPr>
        <w:widowControl/>
        <w:spacing w:line="480" w:lineRule="exact"/>
        <w:ind w:right="2900"/>
        <w:rPr>
          <w:rFonts w:hint="eastAsia" w:ascii="Times New Roman" w:hAnsi="Times New Roman" w:eastAsia="方正黑体_GBK"/>
          <w:sz w:val="32"/>
          <w:szCs w:val="32"/>
          <w:lang w:eastAsia="zh-CN"/>
        </w:rPr>
      </w:pPr>
      <w:r>
        <w:rPr>
          <w:rFonts w:ascii="Times New Roman" w:hAnsi="Times New Roman" w:eastAsia="方正黑体_GBK"/>
          <w:sz w:val="32"/>
          <w:szCs w:val="32"/>
        </w:rPr>
        <w:t>附件</w:t>
      </w:r>
      <w:r>
        <w:rPr>
          <w:rFonts w:hint="eastAsia" w:ascii="Times New Roman" w:hAnsi="Times New Roman" w:eastAsia="方正黑体_GBK"/>
          <w:sz w:val="32"/>
          <w:szCs w:val="32"/>
          <w:lang w:val="en-US" w:eastAsia="zh-CN"/>
        </w:rPr>
        <w:t>6</w:t>
      </w:r>
    </w:p>
    <w:p w14:paraId="20D4BAC2">
      <w:pPr>
        <w:widowControl/>
        <w:spacing w:line="480" w:lineRule="exact"/>
        <w:jc w:val="center"/>
        <w:rPr>
          <w:rFonts w:ascii="Times New Roman" w:hAnsi="Times New Roman" w:eastAsia="方正小标宋_GBK"/>
          <w:color w:val="000000"/>
          <w:kern w:val="0"/>
          <w:sz w:val="36"/>
          <w:szCs w:val="36"/>
        </w:rPr>
      </w:pPr>
    </w:p>
    <w:p w14:paraId="1C0D6E5C">
      <w:pPr>
        <w:widowControl/>
        <w:spacing w:line="480" w:lineRule="exact"/>
        <w:jc w:val="center"/>
        <w:rPr>
          <w:rFonts w:ascii="Times New Roman" w:hAnsi="Times New Roman" w:eastAsia="方正小标宋_GBK"/>
          <w:color w:val="000000"/>
          <w:kern w:val="0"/>
          <w:sz w:val="36"/>
          <w:szCs w:val="36"/>
        </w:rPr>
      </w:pPr>
      <w:r>
        <w:rPr>
          <w:rFonts w:hint="eastAsia" w:ascii="Times New Roman" w:hAnsi="Times New Roman" w:eastAsia="方正小标宋_GBK"/>
          <w:color w:val="000000"/>
          <w:kern w:val="0"/>
          <w:sz w:val="36"/>
          <w:szCs w:val="36"/>
        </w:rPr>
        <w:t>国务院关于印发《知识产权保护和运用“十五五”规划》的通知</w:t>
      </w:r>
    </w:p>
    <w:p w14:paraId="4A4F76A5">
      <w:pPr>
        <w:widowControl/>
        <w:spacing w:line="480" w:lineRule="exact"/>
        <w:jc w:val="center"/>
        <w:rPr>
          <w:rFonts w:ascii="方正楷体_GBK" w:hAnsi="Times New Roman" w:eastAsia="方正楷体_GBK"/>
          <w:b/>
          <w:sz w:val="24"/>
        </w:rPr>
      </w:pPr>
      <w:r>
        <w:rPr>
          <w:rFonts w:hint="eastAsia" w:ascii="方正楷体_GBK" w:hAnsi="Times New Roman" w:eastAsia="方正楷体_GBK"/>
          <w:b/>
          <w:sz w:val="24"/>
        </w:rPr>
        <w:t>（来源：</w:t>
      </w:r>
      <w:r>
        <w:rPr>
          <w:rFonts w:hint="eastAsia" w:ascii="方正楷体_GBK" w:hAnsi="Times New Roman" w:eastAsia="方正楷体_GBK"/>
          <w:b/>
          <w:sz w:val="24"/>
          <w:lang w:val="en-US" w:eastAsia="zh-CN"/>
        </w:rPr>
        <w:t>中央人民政府网站</w:t>
      </w:r>
      <w:r>
        <w:rPr>
          <w:rFonts w:hint="eastAsia" w:ascii="方正楷体_GBK" w:hAnsi="Times New Roman" w:eastAsia="方正楷体_GBK"/>
          <w:b/>
          <w:sz w:val="24"/>
        </w:rPr>
        <w:t xml:space="preserve"> </w:t>
      </w:r>
      <w:r>
        <w:rPr>
          <w:rFonts w:ascii="方正楷体_GBK" w:hAnsi="Times New Roman" w:eastAsia="方正楷体_GBK"/>
          <w:b/>
          <w:sz w:val="24"/>
        </w:rPr>
        <w:t xml:space="preserve">     </w:t>
      </w:r>
      <w:r>
        <w:rPr>
          <w:rFonts w:hint="eastAsia" w:ascii="方正楷体_GBK" w:hAnsi="Times New Roman" w:eastAsia="方正楷体_GBK"/>
          <w:b/>
          <w:sz w:val="24"/>
        </w:rPr>
        <w:t>发布时间：202</w:t>
      </w:r>
      <w:r>
        <w:rPr>
          <w:rFonts w:ascii="方正楷体_GBK" w:hAnsi="Times New Roman" w:eastAsia="方正楷体_GBK"/>
          <w:b/>
          <w:sz w:val="24"/>
        </w:rPr>
        <w:t>6</w:t>
      </w:r>
      <w:r>
        <w:rPr>
          <w:rFonts w:hint="eastAsia" w:ascii="方正楷体_GBK" w:hAnsi="Times New Roman" w:eastAsia="方正楷体_GBK"/>
          <w:b/>
          <w:sz w:val="24"/>
        </w:rPr>
        <w:t>-</w:t>
      </w:r>
      <w:r>
        <w:rPr>
          <w:rFonts w:ascii="方正楷体_GBK" w:hAnsi="Times New Roman" w:eastAsia="方正楷体_GBK"/>
          <w:b/>
          <w:sz w:val="24"/>
        </w:rPr>
        <w:t>0</w:t>
      </w:r>
      <w:r>
        <w:rPr>
          <w:rFonts w:hint="eastAsia" w:ascii="方正楷体_GBK" w:hAnsi="Times New Roman" w:eastAsia="方正楷体_GBK"/>
          <w:b/>
          <w:sz w:val="24"/>
          <w:lang w:val="en-US" w:eastAsia="zh-CN"/>
        </w:rPr>
        <w:t>7</w:t>
      </w:r>
      <w:r>
        <w:rPr>
          <w:rFonts w:hint="eastAsia" w:ascii="方正楷体_GBK" w:hAnsi="Times New Roman" w:eastAsia="方正楷体_GBK"/>
          <w:b/>
          <w:sz w:val="24"/>
        </w:rPr>
        <w:t>-</w:t>
      </w:r>
      <w:r>
        <w:rPr>
          <w:rFonts w:hint="eastAsia" w:ascii="方正楷体_GBK" w:hAnsi="Times New Roman" w:eastAsia="方正楷体_GBK"/>
          <w:b/>
          <w:sz w:val="24"/>
          <w:lang w:val="en-US" w:eastAsia="zh-CN"/>
        </w:rPr>
        <w:t>3</w:t>
      </w:r>
      <w:r>
        <w:rPr>
          <w:rFonts w:ascii="方正楷体_GBK" w:hAnsi="Times New Roman" w:eastAsia="方正楷体_GBK"/>
          <w:b/>
          <w:sz w:val="24"/>
        </w:rPr>
        <w:t>1</w:t>
      </w:r>
      <w:r>
        <w:rPr>
          <w:rFonts w:hint="eastAsia" w:ascii="方正楷体_GBK" w:hAnsi="Times New Roman" w:eastAsia="方正楷体_GBK"/>
          <w:b/>
          <w:sz w:val="24"/>
        </w:rPr>
        <w:t>）</w:t>
      </w:r>
    </w:p>
    <w:p w14:paraId="65876CC2">
      <w:pPr>
        <w:spacing w:line="480" w:lineRule="exact"/>
        <w:ind w:firstLine="480" w:firstLineChars="200"/>
        <w:rPr>
          <w:rFonts w:ascii="Times New Roman" w:hAnsi="Times New Roman" w:eastAsia="方正仿宋_GBK"/>
          <w:color w:val="262626"/>
          <w:kern w:val="0"/>
          <w:sz w:val="24"/>
        </w:rPr>
      </w:pPr>
    </w:p>
    <w:p w14:paraId="2921390E">
      <w:pPr>
        <w:spacing w:line="480" w:lineRule="exact"/>
        <w:rPr>
          <w:rFonts w:hint="eastAsia" w:ascii="Times New Roman" w:hAnsi="Times New Roman" w:eastAsia="方正仿宋_GBK"/>
          <w:color w:val="262626"/>
          <w:kern w:val="0"/>
          <w:sz w:val="24"/>
          <w:lang w:eastAsia="zh-CN"/>
        </w:rPr>
      </w:pPr>
      <w:r>
        <w:rPr>
          <w:rFonts w:hint="eastAsia" w:ascii="Times New Roman" w:hAnsi="Times New Roman" w:eastAsia="方正仿宋_GBK"/>
          <w:color w:val="262626"/>
          <w:kern w:val="0"/>
          <w:sz w:val="24"/>
        </w:rPr>
        <w:t>各省、自治区、直辖市人民政府，国务院各部委、各直属机构：</w:t>
      </w:r>
    </w:p>
    <w:p w14:paraId="35D1E448">
      <w:pPr>
        <w:spacing w:line="480" w:lineRule="exact"/>
        <w:ind w:firstLine="480" w:firstLineChars="200"/>
        <w:rPr>
          <w:rFonts w:hint="eastAsia" w:ascii="Times New Roman" w:hAnsi="Times New Roman" w:eastAsia="方正仿宋_GBK"/>
          <w:color w:val="262626"/>
          <w:kern w:val="0"/>
          <w:sz w:val="24"/>
        </w:rPr>
      </w:pPr>
      <w:r>
        <w:rPr>
          <w:rFonts w:hint="eastAsia" w:ascii="Times New Roman" w:hAnsi="Times New Roman" w:eastAsia="方正仿宋_GBK"/>
          <w:color w:val="262626"/>
          <w:kern w:val="0"/>
          <w:sz w:val="24"/>
        </w:rPr>
        <w:t>现将《知识产权保护和运用“十五五”规划》印发给你们，请认真贯彻执行。</w:t>
      </w:r>
    </w:p>
    <w:p w14:paraId="422B1D25">
      <w:pPr>
        <w:spacing w:line="480" w:lineRule="exact"/>
        <w:ind w:firstLine="480" w:firstLineChars="200"/>
        <w:rPr>
          <w:rFonts w:hint="eastAsia" w:ascii="Times New Roman" w:hAnsi="Times New Roman" w:eastAsia="方正仿宋_GBK"/>
          <w:color w:val="262626"/>
          <w:kern w:val="0"/>
          <w:sz w:val="24"/>
          <w:lang w:eastAsia="zh-CN"/>
        </w:rPr>
      </w:pPr>
    </w:p>
    <w:p w14:paraId="4B69E2E4">
      <w:pPr>
        <w:spacing w:line="480" w:lineRule="exact"/>
        <w:ind w:firstLine="480" w:firstLineChars="200"/>
        <w:jc w:val="right"/>
        <w:rPr>
          <w:rFonts w:hint="eastAsia" w:ascii="Times New Roman" w:hAnsi="Times New Roman" w:eastAsia="方正仿宋_GBK"/>
          <w:color w:val="262626"/>
          <w:kern w:val="0"/>
          <w:sz w:val="24"/>
        </w:rPr>
      </w:pPr>
      <w:r>
        <w:rPr>
          <w:rFonts w:hint="eastAsia" w:ascii="Times New Roman" w:hAnsi="Times New Roman" w:eastAsia="方正仿宋_GBK"/>
          <w:color w:val="262626"/>
          <w:kern w:val="0"/>
          <w:sz w:val="24"/>
        </w:rPr>
        <w:t>国务院</w:t>
      </w:r>
    </w:p>
    <w:p w14:paraId="17085227">
      <w:pPr>
        <w:spacing w:line="480" w:lineRule="exact"/>
        <w:ind w:firstLine="480" w:firstLineChars="200"/>
        <w:jc w:val="right"/>
        <w:rPr>
          <w:rFonts w:hint="eastAsia" w:ascii="Times New Roman" w:hAnsi="Times New Roman" w:eastAsia="方正仿宋_GBK"/>
          <w:color w:val="262626"/>
          <w:kern w:val="0"/>
          <w:sz w:val="24"/>
          <w:lang w:eastAsia="zh-CN"/>
        </w:rPr>
      </w:pPr>
      <w:r>
        <w:rPr>
          <w:rFonts w:hint="eastAsia" w:ascii="Times New Roman" w:hAnsi="Times New Roman" w:eastAsia="方正仿宋_GBK"/>
          <w:color w:val="262626"/>
          <w:kern w:val="0"/>
          <w:sz w:val="24"/>
        </w:rPr>
        <w:t>2026年7月27日</w:t>
      </w:r>
    </w:p>
    <w:p w14:paraId="6A7FD1E1">
      <w:pPr>
        <w:spacing w:line="480" w:lineRule="exact"/>
        <w:ind w:firstLine="480" w:firstLineChars="200"/>
        <w:rPr>
          <w:rFonts w:hint="eastAsia" w:ascii="Times New Roman" w:hAnsi="Times New Roman" w:eastAsia="方正仿宋_GBK"/>
          <w:color w:val="262626"/>
          <w:kern w:val="0"/>
          <w:sz w:val="24"/>
          <w:lang w:eastAsia="zh-CN"/>
        </w:rPr>
      </w:pPr>
      <w:r>
        <w:rPr>
          <w:rFonts w:hint="eastAsia" w:ascii="Times New Roman" w:hAnsi="Times New Roman" w:eastAsia="方正仿宋_GBK"/>
          <w:color w:val="262626"/>
          <w:kern w:val="0"/>
          <w:sz w:val="24"/>
        </w:rPr>
        <w:t>（本文有删减）</w:t>
      </w:r>
    </w:p>
    <w:p w14:paraId="7F33067D">
      <w:pPr>
        <w:spacing w:line="480" w:lineRule="exact"/>
        <w:ind w:firstLine="480" w:firstLineChars="200"/>
        <w:jc w:val="center"/>
        <w:rPr>
          <w:rFonts w:hint="eastAsia" w:ascii="Times New Roman" w:hAnsi="Times New Roman" w:eastAsia="方正仿宋_GBK"/>
          <w:b/>
          <w:bCs/>
          <w:color w:val="262626"/>
          <w:kern w:val="0"/>
          <w:sz w:val="24"/>
        </w:rPr>
      </w:pPr>
      <w:r>
        <w:rPr>
          <w:rFonts w:hint="eastAsia" w:ascii="Times New Roman" w:hAnsi="Times New Roman" w:eastAsia="方正仿宋_GBK"/>
          <w:b/>
          <w:bCs/>
          <w:color w:val="262626"/>
          <w:kern w:val="0"/>
          <w:sz w:val="24"/>
        </w:rPr>
        <w:t>知识产权保护和运用“十五五”规划</w:t>
      </w:r>
    </w:p>
    <w:p w14:paraId="2E1EA23F">
      <w:pPr>
        <w:spacing w:line="480" w:lineRule="exact"/>
        <w:ind w:firstLine="480" w:firstLineChars="200"/>
        <w:jc w:val="center"/>
        <w:rPr>
          <w:rFonts w:hint="eastAsia" w:ascii="Times New Roman" w:hAnsi="Times New Roman" w:eastAsia="方正仿宋_GBK"/>
          <w:color w:val="262626"/>
          <w:kern w:val="0"/>
          <w:sz w:val="24"/>
        </w:rPr>
      </w:pPr>
    </w:p>
    <w:p w14:paraId="5F9382D5">
      <w:pPr>
        <w:spacing w:line="480" w:lineRule="exact"/>
        <w:ind w:firstLine="480" w:firstLineChars="200"/>
        <w:rPr>
          <w:rFonts w:hint="eastAsia" w:ascii="Times New Roman" w:hAnsi="Times New Roman" w:eastAsia="方正仿宋_GBK"/>
          <w:color w:val="262626"/>
          <w:kern w:val="0"/>
          <w:sz w:val="24"/>
          <w:lang w:eastAsia="zh-CN"/>
        </w:rPr>
      </w:pPr>
      <w:r>
        <w:rPr>
          <w:rFonts w:hint="eastAsia" w:ascii="Times New Roman" w:hAnsi="Times New Roman" w:eastAsia="方正仿宋_GBK"/>
          <w:color w:val="262626"/>
          <w:kern w:val="0"/>
          <w:sz w:val="24"/>
        </w:rPr>
        <w:t>知识产权是国家发展的战略性资源和国际竞争力的核心要素。为加快建设知识产权强国，根据《中华人民共和国国民经济和社会发展第十五个五年规划纲要》，制定本规划。</w:t>
      </w:r>
    </w:p>
    <w:p w14:paraId="6E125689">
      <w:pPr>
        <w:spacing w:line="480" w:lineRule="exact"/>
        <w:ind w:firstLine="480" w:firstLineChars="200"/>
        <w:rPr>
          <w:rFonts w:hint="eastAsia" w:ascii="Times New Roman" w:hAnsi="Times New Roman" w:eastAsia="方正仿宋_GBK"/>
          <w:color w:val="262626"/>
          <w:kern w:val="0"/>
          <w:sz w:val="24"/>
          <w:lang w:eastAsia="zh-CN"/>
        </w:rPr>
      </w:pPr>
      <w:r>
        <w:rPr>
          <w:rFonts w:hint="eastAsia" w:ascii="Times New Roman" w:hAnsi="Times New Roman" w:eastAsia="方正仿宋_GBK"/>
          <w:color w:val="262626"/>
          <w:kern w:val="0"/>
          <w:sz w:val="24"/>
        </w:rPr>
        <w:t>一、总体要求</w:t>
      </w:r>
    </w:p>
    <w:p w14:paraId="25965518">
      <w:pPr>
        <w:spacing w:line="480" w:lineRule="exact"/>
        <w:ind w:firstLine="480" w:firstLineChars="200"/>
        <w:rPr>
          <w:rFonts w:hint="eastAsia" w:ascii="Times New Roman" w:hAnsi="Times New Roman" w:eastAsia="方正仿宋_GBK"/>
          <w:color w:val="262626"/>
          <w:kern w:val="0"/>
          <w:sz w:val="24"/>
          <w:lang w:eastAsia="zh-CN"/>
        </w:rPr>
      </w:pPr>
      <w:r>
        <w:rPr>
          <w:rFonts w:hint="eastAsia" w:ascii="Times New Roman" w:hAnsi="Times New Roman" w:eastAsia="方正仿宋_GBK"/>
          <w:color w:val="262626"/>
          <w:kern w:val="0"/>
          <w:sz w:val="24"/>
        </w:rPr>
        <w:t>坚持以习近平新时代中国特色社会主义思想为指导，深入贯彻党的二十大和二十届历次全会精神，认真落实四中全会部署，完整准确全面贯彻新发展理念，以推动知识产权事业高质量发展为主题，以改革创新为根本动力，锚定建设中国特色、世界水平的知识产权强国目标，全面提升知识产权创造、运用、保护、管理、服务水平，统筹知识产权领域国际合作与竞争，加速知识产权与经济社会发展深度融合，为实现中国式现代化提供有力支撑。</w:t>
      </w:r>
    </w:p>
    <w:p w14:paraId="20F7E077">
      <w:pPr>
        <w:spacing w:line="480" w:lineRule="exact"/>
        <w:ind w:firstLine="480" w:firstLineChars="200"/>
        <w:rPr>
          <w:rFonts w:hint="eastAsia" w:ascii="Times New Roman" w:hAnsi="Times New Roman" w:eastAsia="方正仿宋_GBK"/>
          <w:color w:val="262626"/>
          <w:kern w:val="0"/>
          <w:sz w:val="24"/>
        </w:rPr>
      </w:pPr>
      <w:r>
        <w:rPr>
          <w:rFonts w:hint="eastAsia" w:ascii="Times New Roman" w:hAnsi="Times New Roman" w:eastAsia="方正仿宋_GBK"/>
          <w:color w:val="262626"/>
          <w:kern w:val="0"/>
          <w:sz w:val="24"/>
        </w:rPr>
        <w:t>到2030年，我国知识产权综合实力和国际竞争力进一步增强，知识产权保护更加有力，知识产权市场价值更加彰显，知识产权公共服务更加优质，知识产权综合管理体制更加高效，知识产权国际合作更加深入，知识产权强国建设取得决定性进展。</w:t>
      </w:r>
    </w:p>
    <w:p w14:paraId="39EE5429">
      <w:pPr>
        <w:spacing w:line="480" w:lineRule="exact"/>
        <w:ind w:firstLine="480" w:firstLineChars="200"/>
        <w:rPr>
          <w:rFonts w:hint="eastAsia" w:ascii="Times New Roman" w:hAnsi="Times New Roman" w:eastAsia="方正仿宋_GBK"/>
          <w:color w:val="262626"/>
          <w:kern w:val="0"/>
          <w:sz w:val="24"/>
          <w:lang w:eastAsia="zh-CN"/>
        </w:rPr>
      </w:pPr>
      <w:r>
        <w:rPr>
          <w:rFonts w:hint="eastAsia" w:ascii="Times New Roman" w:hAnsi="Times New Roman" w:eastAsia="方正仿宋_GBK"/>
          <w:color w:val="262626"/>
          <w:kern w:val="0"/>
          <w:sz w:val="24"/>
        </w:rPr>
        <w:t>展望2035年，我国知识产权综合竞争力跻身世界前列，知识产权制度系统完备，知识产权促进创新创业蓬勃发展，全社会知识产权文化自觉基本形成，全方位、多层次参与知识产权全球治理的国际合作格局基本形成，中国特色、世界水平的知识产权强国基本建成。</w:t>
      </w:r>
    </w:p>
    <w:p w14:paraId="36B822A0">
      <w:pPr>
        <w:spacing w:line="480" w:lineRule="exact"/>
        <w:ind w:firstLine="480" w:firstLineChars="200"/>
        <w:rPr>
          <w:rFonts w:hint="eastAsia" w:ascii="Times New Roman" w:hAnsi="Times New Roman" w:eastAsia="方正仿宋_GBK"/>
          <w:color w:val="262626"/>
          <w:kern w:val="0"/>
          <w:sz w:val="24"/>
          <w:lang w:eastAsia="zh-CN"/>
        </w:rPr>
      </w:pPr>
      <w:r>
        <w:rPr>
          <w:rFonts w:hint="eastAsia" w:ascii="Times New Roman" w:hAnsi="Times New Roman" w:eastAsia="方正仿宋_GBK"/>
          <w:color w:val="262626"/>
          <w:kern w:val="0"/>
          <w:sz w:val="24"/>
        </w:rPr>
        <w:t>二、持续优化支持全面创新的知识产权保护环境</w:t>
      </w:r>
    </w:p>
    <w:p w14:paraId="6A3E04CF">
      <w:pPr>
        <w:spacing w:line="480" w:lineRule="exact"/>
        <w:ind w:firstLine="480" w:firstLineChars="200"/>
        <w:rPr>
          <w:rFonts w:hint="eastAsia" w:ascii="Times New Roman" w:hAnsi="Times New Roman" w:eastAsia="方正仿宋_GBK"/>
          <w:color w:val="262626"/>
          <w:kern w:val="0"/>
          <w:sz w:val="24"/>
          <w:lang w:eastAsia="zh-CN"/>
        </w:rPr>
      </w:pPr>
      <w:r>
        <w:rPr>
          <w:rFonts w:hint="eastAsia" w:ascii="Times New Roman" w:hAnsi="Times New Roman" w:eastAsia="方正仿宋_GBK"/>
          <w:color w:val="262626"/>
          <w:kern w:val="0"/>
          <w:sz w:val="24"/>
        </w:rPr>
        <w:t>（一）完善知识产权法律制度</w:t>
      </w:r>
    </w:p>
    <w:p w14:paraId="40DADA60">
      <w:pPr>
        <w:spacing w:line="480" w:lineRule="exact"/>
        <w:ind w:firstLine="480" w:firstLineChars="200"/>
        <w:rPr>
          <w:rFonts w:hint="eastAsia" w:ascii="Times New Roman" w:hAnsi="Times New Roman" w:eastAsia="方正仿宋_GBK"/>
          <w:color w:val="262626"/>
          <w:kern w:val="0"/>
          <w:sz w:val="24"/>
          <w:lang w:eastAsia="zh-CN"/>
        </w:rPr>
      </w:pPr>
      <w:r>
        <w:rPr>
          <w:rFonts w:hint="eastAsia" w:ascii="Times New Roman" w:hAnsi="Times New Roman" w:eastAsia="方正仿宋_GBK"/>
          <w:color w:val="262626"/>
          <w:kern w:val="0"/>
          <w:sz w:val="24"/>
        </w:rPr>
        <w:t>健全知识产权法律法规。加强知识产权基础性法律研究，完善知识产权保护和运用制度。持续完善专利相关法律制度。推动商标法及其实施条例全面修改，探索扩大商标保护范围。适时推动著作权法配套法规规章修改，完善著作权集体管理制度。修订集成电路布图设计法规规章。持续推动地理标志专门立法和部门协同保护。加快修订植物新品种保护条例实施细则。完善商业秘密保护制度。健全知识产权领域反垄断制度。研究符合知识产权审判规律的特别程序法律制度。加快修订知识产权海关保护条例。出台中医药传统知识保护条例。加强传统知识、民间文艺等获取和惠益分享制度建设。</w:t>
      </w:r>
    </w:p>
    <w:p w14:paraId="1C073D86">
      <w:pPr>
        <w:spacing w:line="480" w:lineRule="exact"/>
        <w:ind w:firstLine="480" w:firstLineChars="200"/>
        <w:rPr>
          <w:rFonts w:hint="eastAsia" w:ascii="Times New Roman" w:hAnsi="Times New Roman" w:eastAsia="方正仿宋_GBK"/>
          <w:color w:val="262626"/>
          <w:kern w:val="0"/>
          <w:sz w:val="24"/>
          <w:lang w:eastAsia="zh-CN"/>
        </w:rPr>
      </w:pPr>
      <w:r>
        <w:rPr>
          <w:rFonts w:hint="eastAsia" w:ascii="Times New Roman" w:hAnsi="Times New Roman" w:eastAsia="方正仿宋_GBK"/>
          <w:color w:val="262626"/>
          <w:kern w:val="0"/>
          <w:sz w:val="24"/>
        </w:rPr>
        <w:t>完善新兴领域知识产权保护制度及特定领域保护规则。完善算法、人工智能生成物以及与平台经济发展相关的知识产权保护规则。探索构建数据知识产权保护规则。加强开源知识产权协议规则研究，支持建设国内开源社区。完善网络出版、网络视听、网络文艺等领域版权保护制度和交易规则。持续优化药品专利纠纷早期解决机制。完善空间站知识产权保护规则。加强非物质文化遗产、中医药等领域知识产权保护。推进生物遗传资源可持续利用与惠益分享，加强重要生物遗传资源流失风险评估。</w:t>
      </w:r>
    </w:p>
    <w:p w14:paraId="076E61DC">
      <w:pPr>
        <w:spacing w:line="480" w:lineRule="exact"/>
        <w:ind w:firstLine="480" w:firstLineChars="200"/>
        <w:rPr>
          <w:rFonts w:hint="eastAsia" w:ascii="Times New Roman" w:hAnsi="Times New Roman" w:eastAsia="方正仿宋_GBK"/>
          <w:color w:val="262626"/>
          <w:kern w:val="0"/>
          <w:sz w:val="24"/>
          <w:lang w:eastAsia="zh-CN"/>
        </w:rPr>
      </w:pPr>
      <w:r>
        <w:rPr>
          <w:rFonts w:hint="eastAsia" w:ascii="Times New Roman" w:hAnsi="Times New Roman" w:eastAsia="方正仿宋_GBK"/>
          <w:color w:val="262626"/>
          <w:kern w:val="0"/>
          <w:sz w:val="24"/>
        </w:rPr>
        <w:t>（二）健全知识产权保护体系</w:t>
      </w:r>
    </w:p>
    <w:p w14:paraId="61869B08">
      <w:pPr>
        <w:spacing w:line="480" w:lineRule="exact"/>
        <w:ind w:firstLine="480" w:firstLineChars="200"/>
        <w:rPr>
          <w:rFonts w:hint="eastAsia" w:ascii="Times New Roman" w:hAnsi="Times New Roman" w:eastAsia="方正仿宋_GBK"/>
          <w:color w:val="262626"/>
          <w:kern w:val="0"/>
          <w:sz w:val="24"/>
          <w:lang w:eastAsia="zh-CN"/>
        </w:rPr>
      </w:pPr>
      <w:r>
        <w:rPr>
          <w:rFonts w:hint="eastAsia" w:ascii="Times New Roman" w:hAnsi="Times New Roman" w:eastAsia="方正仿宋_GBK"/>
          <w:color w:val="262626"/>
          <w:kern w:val="0"/>
          <w:sz w:val="24"/>
        </w:rPr>
        <w:t>加强知识产权司法保护。推动完善知识产权案件上诉审理机制，深入推进知识产权民事、刑事、行政案件“三合一”审判机制改革，推动构建案件审理专门化、管辖集中化和程序集约化的审判体系。推动统一知识产权司法裁判标准和法律适用。持续完善知识产权侵权惩罚性赔偿制度，依法惩处严重侵害知识产权行为。防范和打击知识产权领域虚假诉讼、恶意诉讼和滥用知识产权行为。深入探索依当事人申请的知识产权纠纷行政调解协议司法确认制度。加强知识产权领域反垄断和反不正当竞争司法。对侵犯各种所有制经济知识产权的行为实行同责同罪同罚，防止和纠正利用刑事手段干预知识产权领域经济纠纷。协助做好知识产权案件检察监督等工作。完善“专业+机制+大数据”新型警务运行模式，依法严厉打击各类侵犯知识产权犯罪，加强警企联系服务，指导企业加强知识产权风险防范。</w:t>
      </w:r>
    </w:p>
    <w:p w14:paraId="0EEA2CF7">
      <w:pPr>
        <w:spacing w:line="480" w:lineRule="exact"/>
        <w:ind w:firstLine="480" w:firstLineChars="200"/>
        <w:rPr>
          <w:rFonts w:hint="eastAsia" w:ascii="Times New Roman" w:hAnsi="Times New Roman" w:eastAsia="方正仿宋_GBK"/>
          <w:color w:val="262626"/>
          <w:kern w:val="0"/>
          <w:sz w:val="24"/>
        </w:rPr>
      </w:pPr>
      <w:r>
        <w:rPr>
          <w:rFonts w:hint="eastAsia" w:ascii="Times New Roman" w:hAnsi="Times New Roman" w:eastAsia="方正仿宋_GBK"/>
          <w:color w:val="262626"/>
          <w:kern w:val="0"/>
          <w:sz w:val="24"/>
        </w:rPr>
        <w:t>强化知识产权行政保护。聚焦重点产品、重点领域、重点市场和重点环节，持续开展打击知识产权侵权假冒违法行为的各类专项行动。强化知识产权行政执法、行政裁决、行政调解办案力量。加强知识产权行政执法专业指导，完善知识产权领域行政裁量权基准。加强反垄断执法，依法查处滥用知识产权排除、限制竞争行为。开展行政裁决规范化建设，制定专利纠纷行政裁决和调解办案指南、版权纠纷调解办案指南，完善侵权判定标准。聚焦重点产业，推动以行政裁决方式快速解决专利、版权纠纷并高效执行裁决结果。加强专利纠纷行政裁决与行政确权案件的协调办理。加强知识产权鉴定机构培育和管理，提升鉴定工作规范化、专业化水平。持续推进软件正版化，加强教育、卫生健康等重点领域软件正版化工作。继续开展种业知识产权保护与运用推进行动。深入推进全国商业秘密保护创新试点工作。加强知识产权海关保护。</w:t>
      </w:r>
    </w:p>
    <w:p w14:paraId="7904A86C">
      <w:pPr>
        <w:spacing w:line="480" w:lineRule="exact"/>
        <w:ind w:firstLine="480" w:firstLineChars="200"/>
        <w:rPr>
          <w:rFonts w:hint="eastAsia" w:ascii="Times New Roman" w:hAnsi="Times New Roman" w:eastAsia="方正仿宋_GBK"/>
          <w:color w:val="262626"/>
          <w:kern w:val="0"/>
          <w:sz w:val="24"/>
          <w:lang w:eastAsia="zh-CN"/>
        </w:rPr>
      </w:pPr>
      <w:r>
        <w:rPr>
          <w:rFonts w:hint="eastAsia" w:ascii="Times New Roman" w:hAnsi="Times New Roman" w:eastAsia="方正仿宋_GBK"/>
          <w:color w:val="262626"/>
          <w:kern w:val="0"/>
          <w:sz w:val="24"/>
        </w:rPr>
        <w:t>完善知识产权协同保护。拓展知识产权纠纷解决渠道，加强跨区域、跨部门知识产权保护协作。健全知识产权行政保护与司法保护衔接机制，促进行政执法标准与司法裁判标准的统一。推动国家级知识产权保护中心和快速维权中心高质量发展，强化知识产权纠纷快速处理能力，加大维权援助力度。建立健全有机衔接、协调联动、高效便捷的知识产权纠纷调解工作模式。持续深化知识产权纠纷在线诉讼调解对接工作。加强知识产权纠纷调解组织规范化建设。推动公证机构在知识产权保护各环节提供公证服务。加强知识产权仲裁机构能力建设，推动完善知识产权专业仲裁规则，建立全国知识产权仲裁机构推荐名录。指导重点行业出台知识产权自律公约，促进企业合规经营、公平竞争。</w:t>
      </w:r>
    </w:p>
    <w:p w14:paraId="2AF491DC">
      <w:pPr>
        <w:spacing w:line="480" w:lineRule="exact"/>
        <w:ind w:firstLine="480" w:firstLineChars="200"/>
        <w:rPr>
          <w:rFonts w:hint="eastAsia" w:ascii="Times New Roman" w:hAnsi="Times New Roman" w:eastAsia="方正仿宋_GBK"/>
          <w:color w:val="262626"/>
          <w:kern w:val="0"/>
          <w:sz w:val="24"/>
          <w:lang w:eastAsia="zh-CN"/>
        </w:rPr>
      </w:pPr>
      <w:r>
        <w:rPr>
          <w:rFonts w:hint="eastAsia" w:ascii="Times New Roman" w:hAnsi="Times New Roman" w:eastAsia="方正仿宋_GBK"/>
          <w:color w:val="262626"/>
          <w:kern w:val="0"/>
          <w:sz w:val="24"/>
        </w:rPr>
        <w:t>（三）加强涉外知识产权保护</w:t>
      </w:r>
    </w:p>
    <w:p w14:paraId="409AF4A2">
      <w:pPr>
        <w:spacing w:line="480" w:lineRule="exact"/>
        <w:ind w:firstLine="480" w:firstLineChars="200"/>
        <w:rPr>
          <w:rFonts w:hint="eastAsia" w:ascii="Times New Roman" w:hAnsi="Times New Roman" w:eastAsia="方正仿宋_GBK"/>
          <w:color w:val="262626"/>
          <w:kern w:val="0"/>
          <w:sz w:val="24"/>
          <w:lang w:eastAsia="zh-CN"/>
        </w:rPr>
      </w:pPr>
      <w:r>
        <w:rPr>
          <w:rFonts w:hint="eastAsia" w:ascii="Times New Roman" w:hAnsi="Times New Roman" w:eastAsia="方正仿宋_GBK"/>
          <w:color w:val="262626"/>
          <w:kern w:val="0"/>
          <w:sz w:val="24"/>
        </w:rPr>
        <w:t>提升涉外知识产权纠纷处理水平。健全涉外知识产权保护体系，增强风险防控能力，妥善应对知识产权国际争端。协助做好涉外知识产权司法案件审理和检察监督工作，强化涉外知识产权行政案件响应处置，依法保障各类经营主体平等待遇。强化对涉外知识产权贸易调查、诉讼等纠纷的监测预警，深化涉外知识产权政策研究。加强跨境电商知识产权保护。建设涉外知识产权纠纷案例库。</w:t>
      </w:r>
    </w:p>
    <w:p w14:paraId="007E6A83">
      <w:pPr>
        <w:spacing w:line="480" w:lineRule="exact"/>
        <w:ind w:firstLine="480" w:firstLineChars="200"/>
        <w:rPr>
          <w:rFonts w:hint="eastAsia" w:ascii="Times New Roman" w:hAnsi="Times New Roman" w:eastAsia="方正仿宋_GBK"/>
          <w:color w:val="262626"/>
          <w:kern w:val="0"/>
          <w:sz w:val="24"/>
          <w:lang w:eastAsia="zh-CN"/>
        </w:rPr>
      </w:pPr>
      <w:r>
        <w:rPr>
          <w:rFonts w:hint="eastAsia" w:ascii="Times New Roman" w:hAnsi="Times New Roman" w:eastAsia="方正仿宋_GBK"/>
          <w:color w:val="262626"/>
          <w:kern w:val="0"/>
          <w:sz w:val="24"/>
        </w:rPr>
        <w:t>加强涉外知识产权维权指导。完善海外知识产权纠纷应对指导机制，分级分类提供指导服务。鼓励商会、行业协会、跨境电商平台等组织搭建涉外知识产权维权援助平台。鼓励保险机构按照市场化原则开展涉外知识产权相关保险业务。支持企业设立涉外知识产权保护维权互助基金。加强海外重点展会知识产权维权指导，加大企业出境参展维权援助力度。</w:t>
      </w:r>
    </w:p>
    <w:p w14:paraId="5E8CE3B6">
      <w:pPr>
        <w:spacing w:line="480" w:lineRule="exact"/>
        <w:ind w:firstLine="480" w:firstLineChars="200"/>
        <w:rPr>
          <w:rFonts w:hint="eastAsia" w:ascii="Times New Roman" w:hAnsi="Times New Roman" w:eastAsia="方正仿宋_GBK"/>
          <w:color w:val="262626"/>
          <w:kern w:val="0"/>
          <w:sz w:val="24"/>
          <w:lang w:eastAsia="zh-CN"/>
        </w:rPr>
      </w:pPr>
      <w:r>
        <w:rPr>
          <w:rFonts w:hint="eastAsia" w:ascii="Times New Roman" w:hAnsi="Times New Roman" w:eastAsia="方正仿宋_GBK"/>
          <w:color w:val="262626"/>
          <w:kern w:val="0"/>
          <w:sz w:val="24"/>
        </w:rPr>
        <w:t>三、大力提升促进经济高质量发展的知识产权运用效能</w:t>
      </w:r>
    </w:p>
    <w:p w14:paraId="1B1B3BEC">
      <w:pPr>
        <w:spacing w:line="480" w:lineRule="exact"/>
        <w:ind w:firstLine="480" w:firstLineChars="200"/>
        <w:rPr>
          <w:rFonts w:hint="eastAsia" w:ascii="Times New Roman" w:hAnsi="Times New Roman" w:eastAsia="方正仿宋_GBK"/>
          <w:color w:val="262626"/>
          <w:kern w:val="0"/>
          <w:sz w:val="24"/>
          <w:lang w:eastAsia="zh-CN"/>
        </w:rPr>
      </w:pPr>
      <w:r>
        <w:rPr>
          <w:rFonts w:hint="eastAsia" w:ascii="Times New Roman" w:hAnsi="Times New Roman" w:eastAsia="方正仿宋_GBK"/>
          <w:color w:val="262626"/>
          <w:kern w:val="0"/>
          <w:sz w:val="24"/>
        </w:rPr>
        <w:t>（四）强化知识产权转化运用能力</w:t>
      </w:r>
    </w:p>
    <w:p w14:paraId="559E9ADD">
      <w:pPr>
        <w:spacing w:line="480" w:lineRule="exact"/>
        <w:ind w:firstLine="480" w:firstLineChars="200"/>
        <w:rPr>
          <w:rFonts w:hint="eastAsia" w:ascii="Times New Roman" w:hAnsi="Times New Roman" w:eastAsia="方正仿宋_GBK"/>
          <w:color w:val="262626"/>
          <w:kern w:val="0"/>
          <w:sz w:val="24"/>
          <w:lang w:eastAsia="zh-CN"/>
        </w:rPr>
      </w:pPr>
      <w:r>
        <w:rPr>
          <w:rFonts w:hint="eastAsia" w:ascii="Times New Roman" w:hAnsi="Times New Roman" w:eastAsia="方正仿宋_GBK"/>
          <w:color w:val="262626"/>
          <w:kern w:val="0"/>
          <w:sz w:val="24"/>
        </w:rPr>
        <w:t>培育知识产权转化运用良好生态。加快培育和发展知识产权要素市场，完善全国知识产权运营平台体系，加强与金融、教育、科技、产业等各类平台载体的协同联动。依托高校区域技术转移转化中心加强高校专利等科技成果与企业需求的精准对接。对风险高、转化难的专利技术积极推广先使用后付费、先转化后入股等转化模式。全面实施专利开放许可制度。推动全国版权交易服务体系建设，强化版权确权、授权和交易能力，提升版权国际贸易服务水平。探索开展知识产权交易价格统计发布工作。逐步扩大财政资助科研项目形成专利的声明制度实施范围，加强相关专利质量和转化效益跟踪监测。</w:t>
      </w:r>
    </w:p>
    <w:p w14:paraId="77B524FD">
      <w:pPr>
        <w:spacing w:line="480" w:lineRule="exact"/>
        <w:ind w:firstLine="480" w:firstLineChars="200"/>
        <w:rPr>
          <w:rFonts w:hint="eastAsia" w:ascii="Times New Roman" w:hAnsi="Times New Roman" w:eastAsia="方正仿宋_GBK"/>
          <w:color w:val="262626"/>
          <w:kern w:val="0"/>
          <w:sz w:val="24"/>
          <w:lang w:eastAsia="zh-CN"/>
        </w:rPr>
      </w:pPr>
      <w:r>
        <w:rPr>
          <w:rFonts w:hint="eastAsia" w:ascii="Times New Roman" w:hAnsi="Times New Roman" w:eastAsia="方正仿宋_GBK"/>
          <w:color w:val="262626"/>
          <w:kern w:val="0"/>
          <w:sz w:val="24"/>
        </w:rPr>
        <w:t>深化知识产权权益分配改革。深化职务科技成果赋权改革，建立职务科技成果资产单列管理制度，健全专利转化尽职免责和容错机制，完善权利义务对等的知识产权收益分配机制。强化产学研协同创新的知识产权规范管理，引导各方明晰权益归属和分配规则。强化质量和价值导向，引导国有企事业单位持续优化涉及知识产权的激励政策和考核评价。支持科研人员通过知识产权作价入股、收益分成等方式参与科技成果转化。健全转化运用长效机制，完善高校、科研机构以产业化前景分析为核心的专利申请前评估制度，加强专利动态盘点和分级管理。</w:t>
      </w:r>
    </w:p>
    <w:p w14:paraId="106E79A5">
      <w:pPr>
        <w:spacing w:line="480" w:lineRule="exact"/>
        <w:ind w:firstLine="480" w:firstLineChars="200"/>
        <w:rPr>
          <w:rFonts w:hint="eastAsia" w:ascii="Times New Roman" w:hAnsi="Times New Roman" w:eastAsia="方正仿宋_GBK"/>
          <w:color w:val="262626"/>
          <w:kern w:val="0"/>
          <w:sz w:val="24"/>
          <w:lang w:eastAsia="zh-CN"/>
        </w:rPr>
      </w:pPr>
      <w:r>
        <w:rPr>
          <w:rFonts w:hint="eastAsia" w:ascii="Times New Roman" w:hAnsi="Times New Roman" w:eastAsia="方正仿宋_GBK"/>
          <w:color w:val="262626"/>
          <w:kern w:val="0"/>
          <w:sz w:val="24"/>
        </w:rPr>
        <w:t>积极稳妥发展知识产权金融。开展知识产权金融生态综合试点。推动知识产权质押融资、证券化、保险、基金等金融产品创新，加强金融数据与知识产权数据共享。深化知识产权金融业务风险分担和补偿工作，推广知识产权质押贷款风险补偿前置模式。健全知识产权价值评估体系，完善专利、商标、著作权评估准则。用好全国知识产权质押信息平台。持续推进知识产权质押登记便利化，推动知识产权质押融资累放金额合理增长，知识产权质押融资惠及企业数量和覆盖面进一步提升。鼓励开展品种权申请前评估，完善品种权质押登记和转让登记管理制度。探索开展知识产权质物收储工作。</w:t>
      </w:r>
    </w:p>
    <w:p w14:paraId="2C9002C9">
      <w:pPr>
        <w:spacing w:line="480" w:lineRule="exact"/>
        <w:ind w:firstLine="480" w:firstLineChars="200"/>
        <w:rPr>
          <w:rFonts w:hint="eastAsia" w:ascii="Times New Roman" w:hAnsi="Times New Roman" w:eastAsia="方正仿宋_GBK"/>
          <w:color w:val="262626"/>
          <w:kern w:val="0"/>
          <w:sz w:val="24"/>
          <w:lang w:eastAsia="zh-CN"/>
        </w:rPr>
      </w:pPr>
      <w:r>
        <w:rPr>
          <w:rFonts w:hint="eastAsia" w:ascii="Times New Roman" w:hAnsi="Times New Roman" w:eastAsia="方正仿宋_GBK"/>
          <w:color w:val="262626"/>
          <w:kern w:val="0"/>
          <w:sz w:val="24"/>
        </w:rPr>
        <w:t>（五）加大促进新质生产力发展的知识产权供给</w:t>
      </w:r>
    </w:p>
    <w:p w14:paraId="198F2530">
      <w:pPr>
        <w:spacing w:line="480" w:lineRule="exact"/>
        <w:ind w:firstLine="480" w:firstLineChars="200"/>
        <w:rPr>
          <w:rFonts w:hint="eastAsia" w:ascii="Times New Roman" w:hAnsi="Times New Roman" w:eastAsia="方正仿宋_GBK"/>
          <w:color w:val="262626"/>
          <w:kern w:val="0"/>
          <w:sz w:val="24"/>
          <w:lang w:eastAsia="zh-CN"/>
        </w:rPr>
      </w:pPr>
      <w:r>
        <w:rPr>
          <w:rFonts w:hint="eastAsia" w:ascii="Times New Roman" w:hAnsi="Times New Roman" w:eastAsia="方正仿宋_GBK"/>
          <w:color w:val="262626"/>
          <w:kern w:val="0"/>
          <w:sz w:val="24"/>
        </w:rPr>
        <w:t>服务关键核心技术攻关。围绕重点领域关键核心技术，培育挖掘高价值专利及专利组合。围绕基础软件培育挖掘高质量版权及版权产品。加强科技创新重大项目的专利布局和知识产权全过程管理。加强应用类重大科技任务专利导向研发管理。强化知识产权分析布局和技术攻关协同，促进知识产权管理与重点装备项目管理深度融合。推动掌握关键核心技术的企业、科研机构等单位完善科学技术保密制度和措施。</w:t>
      </w:r>
    </w:p>
    <w:p w14:paraId="3AB4E462">
      <w:pPr>
        <w:spacing w:line="480" w:lineRule="exact"/>
        <w:ind w:firstLine="480" w:firstLineChars="200"/>
        <w:rPr>
          <w:rFonts w:hint="eastAsia" w:ascii="Times New Roman" w:hAnsi="Times New Roman" w:eastAsia="方正仿宋_GBK"/>
          <w:color w:val="262626"/>
          <w:kern w:val="0"/>
          <w:sz w:val="24"/>
          <w:lang w:eastAsia="zh-CN"/>
        </w:rPr>
      </w:pPr>
      <w:r>
        <w:rPr>
          <w:rFonts w:hint="eastAsia" w:ascii="Times New Roman" w:hAnsi="Times New Roman" w:eastAsia="方正仿宋_GBK"/>
          <w:color w:val="262626"/>
          <w:kern w:val="0"/>
          <w:sz w:val="24"/>
        </w:rPr>
        <w:t>赋能产业创新发展。深入实施专利导航工程，聚焦新兴产业和未来产业，持续提升专利导航服务产业发展能力。引导组建产业知识产权创新联合体，充分发挥产业知识产权运营中心作用，指导建设重点产业专利池。大力发展专利密集型产业，加大专利密集型产品培育和推广力度。加强促进区块链、大数据、云计算、人工智能等新技术新产业发展的版权服务和保障。进一步强化标准必要专利的公平合理许可使用，建立完善国际标准必要专利专题数据库，积极推动专利与国际标准制定有效结合。适应商标注册新需求，做好新产业新业态新模式下的商品分类工作。强化数字技术、绿色技术专利产业应用，推动数字经济核心产业发明专利和绿色低碳技术发明专利有效量稳步增长。</w:t>
      </w:r>
    </w:p>
    <w:p w14:paraId="143E5DD6">
      <w:pPr>
        <w:spacing w:line="480" w:lineRule="exact"/>
        <w:ind w:firstLine="480" w:firstLineChars="200"/>
        <w:rPr>
          <w:rFonts w:hint="eastAsia" w:ascii="Times New Roman" w:hAnsi="Times New Roman" w:eastAsia="方正仿宋_GBK"/>
          <w:color w:val="262626"/>
          <w:kern w:val="0"/>
          <w:sz w:val="24"/>
          <w:lang w:eastAsia="zh-CN"/>
        </w:rPr>
      </w:pPr>
      <w:r>
        <w:rPr>
          <w:rFonts w:hint="eastAsia" w:ascii="Times New Roman" w:hAnsi="Times New Roman" w:eastAsia="方正仿宋_GBK"/>
          <w:color w:val="262626"/>
          <w:kern w:val="0"/>
          <w:sz w:val="24"/>
        </w:rPr>
        <w:t>培育壮大知识产权特色经济。实施商标品牌战略，强化政策指导支持，培育更多具有国际影响力的知名商标品牌和国货潮牌。发挥集体商标、证明商标制度作用，推动打造特色鲜明、竞争力强、市场信誉好的产业集群品牌和区域品牌。创新知识产权与商旅文体健融合场景，积极发展“知识产权（IP）+消费”。推动版权产业高质量发展，引导国家版权交易中心（贸易基地）、国家版权创新发展基地和优质版权企业促进版权转化运用。加大版权作品国际宣传推广，推动更多优秀作品“走出去”。积极推广地理标志产品和品牌，促进地理标志产品交易，推动地理标志产品产业链延伸。</w:t>
      </w:r>
    </w:p>
    <w:p w14:paraId="30FA5DA3">
      <w:pPr>
        <w:spacing w:line="480" w:lineRule="exact"/>
        <w:ind w:firstLine="480" w:firstLineChars="200"/>
        <w:rPr>
          <w:rFonts w:hint="eastAsia" w:ascii="Times New Roman" w:hAnsi="Times New Roman" w:eastAsia="方正仿宋_GBK"/>
          <w:color w:val="262626"/>
          <w:kern w:val="0"/>
          <w:sz w:val="24"/>
          <w:lang w:eastAsia="zh-CN"/>
        </w:rPr>
      </w:pPr>
      <w:r>
        <w:rPr>
          <w:rFonts w:hint="eastAsia" w:ascii="Times New Roman" w:hAnsi="Times New Roman" w:eastAsia="方正仿宋_GBK"/>
          <w:color w:val="262626"/>
          <w:kern w:val="0"/>
          <w:sz w:val="24"/>
        </w:rPr>
        <w:t>（六）促进知识产权服务业高质量发展</w:t>
      </w:r>
    </w:p>
    <w:p w14:paraId="02622DF4">
      <w:pPr>
        <w:spacing w:line="480" w:lineRule="exact"/>
        <w:ind w:firstLine="480" w:firstLineChars="200"/>
        <w:rPr>
          <w:rFonts w:hint="eastAsia" w:ascii="Times New Roman" w:hAnsi="Times New Roman" w:eastAsia="方正仿宋_GBK"/>
          <w:color w:val="262626"/>
          <w:kern w:val="0"/>
          <w:sz w:val="24"/>
          <w:lang w:eastAsia="zh-CN"/>
        </w:rPr>
      </w:pPr>
      <w:r>
        <w:rPr>
          <w:rFonts w:hint="eastAsia" w:ascii="Times New Roman" w:hAnsi="Times New Roman" w:eastAsia="方正仿宋_GBK"/>
          <w:color w:val="262626"/>
          <w:kern w:val="0"/>
          <w:sz w:val="24"/>
        </w:rPr>
        <w:t>提升知识产权服务能力。推进知识产权服务业集聚区优化升级。支持知识产权服务机构开展交易、转化、托管、投融资等增值服务。培育高水平涉外知识产权服务机构，支持有条件的知识产权服务机构在境外设立分支机构或代表处，鼓励高水平外国机构来华开展知识产权服务。推进知识产权服务业标准体系建设，做好标准实施评估和动态完善工作。开展专利、商标代理机构及其从业人员分级分类评价，推动开展以质量为导向的专利商标代理服务招标工作。</w:t>
      </w:r>
    </w:p>
    <w:p w14:paraId="27EFD93A">
      <w:pPr>
        <w:spacing w:line="480" w:lineRule="exact"/>
        <w:ind w:firstLine="480" w:firstLineChars="200"/>
        <w:rPr>
          <w:rFonts w:hint="eastAsia" w:ascii="Times New Roman" w:hAnsi="Times New Roman" w:eastAsia="方正仿宋_GBK"/>
          <w:color w:val="262626"/>
          <w:kern w:val="0"/>
          <w:sz w:val="24"/>
          <w:lang w:eastAsia="zh-CN"/>
        </w:rPr>
      </w:pPr>
      <w:r>
        <w:rPr>
          <w:rFonts w:hint="eastAsia" w:ascii="Times New Roman" w:hAnsi="Times New Roman" w:eastAsia="方正仿宋_GBK"/>
          <w:color w:val="262626"/>
          <w:kern w:val="0"/>
          <w:sz w:val="24"/>
        </w:rPr>
        <w:t>强化知识产权服务业监管。完善知识产权代理监管制度。严把专利代理行业准入关，加强商标代理机构备案管理。依法依规治理知识产权服务业低价无序竞争，推动形成优质优价、良性竞争的市场秩序。加强跨区域、跨部门监管协同和执法协作，严厉打击违法违规知识产权代理行为。强化行业自律，严格落实专利代理师签名责任制，引导专利代理机构合规经营、代理人员规范从业。完善专利、商标代理机构信用评价，强化结果运用。探索开展版权代理机构分级管理。</w:t>
      </w:r>
    </w:p>
    <w:p w14:paraId="1915921C">
      <w:pPr>
        <w:spacing w:line="480" w:lineRule="exact"/>
        <w:ind w:firstLine="480" w:firstLineChars="200"/>
        <w:rPr>
          <w:rFonts w:hint="eastAsia" w:ascii="Times New Roman" w:hAnsi="Times New Roman" w:eastAsia="方正仿宋_GBK"/>
          <w:color w:val="262626"/>
          <w:kern w:val="0"/>
          <w:sz w:val="24"/>
          <w:lang w:eastAsia="zh-CN"/>
        </w:rPr>
      </w:pPr>
      <w:r>
        <w:rPr>
          <w:rFonts w:hint="eastAsia" w:ascii="Times New Roman" w:hAnsi="Times New Roman" w:eastAsia="方正仿宋_GBK"/>
          <w:color w:val="262626"/>
          <w:kern w:val="0"/>
          <w:sz w:val="24"/>
        </w:rPr>
        <w:t>四、不断健全推进高效能治理的知识产权综合管理体系</w:t>
      </w:r>
    </w:p>
    <w:p w14:paraId="3CA9C906">
      <w:pPr>
        <w:spacing w:line="480" w:lineRule="exact"/>
        <w:ind w:firstLine="480" w:firstLineChars="200"/>
        <w:rPr>
          <w:rFonts w:hint="eastAsia" w:ascii="Times New Roman" w:hAnsi="Times New Roman" w:eastAsia="方正仿宋_GBK"/>
          <w:color w:val="262626"/>
          <w:kern w:val="0"/>
          <w:sz w:val="24"/>
          <w:lang w:eastAsia="zh-CN"/>
        </w:rPr>
      </w:pPr>
      <w:r>
        <w:rPr>
          <w:rFonts w:hint="eastAsia" w:ascii="Times New Roman" w:hAnsi="Times New Roman" w:eastAsia="方正仿宋_GBK"/>
          <w:color w:val="262626"/>
          <w:kern w:val="0"/>
          <w:sz w:val="24"/>
        </w:rPr>
        <w:t>（七）全面提高知识产权管理水平</w:t>
      </w:r>
    </w:p>
    <w:p w14:paraId="5C994E24">
      <w:pPr>
        <w:spacing w:line="480" w:lineRule="exact"/>
        <w:ind w:firstLine="480" w:firstLineChars="200"/>
        <w:rPr>
          <w:rFonts w:hint="eastAsia" w:ascii="Times New Roman" w:hAnsi="Times New Roman" w:eastAsia="方正仿宋_GBK"/>
          <w:color w:val="262626"/>
          <w:kern w:val="0"/>
          <w:sz w:val="24"/>
        </w:rPr>
      </w:pPr>
      <w:r>
        <w:rPr>
          <w:rFonts w:hint="eastAsia" w:ascii="Times New Roman" w:hAnsi="Times New Roman" w:eastAsia="方正仿宋_GBK"/>
          <w:color w:val="262626"/>
          <w:kern w:val="0"/>
          <w:sz w:val="24"/>
        </w:rPr>
        <w:t>提升知识产权工作协同效能。建立高效的知识产权综合管理体制，加强知识产权全链条保护。完善国家知识产权强国建设工作部际联席会议制度。加强区域知识产权工作协同，深化东西部知识产权对口协作。深入开展知识产权强国建设示范工作，“一省一策”推进知识产权强省建设。支持重点地区建设区域性知识产权运营平台。支持指导自由贸易试验区、海南自由贸易港围绕知识产权开展首创性、集成性探索。</w:t>
      </w:r>
    </w:p>
    <w:p w14:paraId="5307F551">
      <w:pPr>
        <w:spacing w:line="480" w:lineRule="exact"/>
        <w:ind w:firstLine="480" w:firstLineChars="200"/>
        <w:rPr>
          <w:rFonts w:hint="eastAsia" w:ascii="Times New Roman" w:hAnsi="Times New Roman" w:eastAsia="方正仿宋_GBK"/>
          <w:color w:val="262626"/>
          <w:kern w:val="0"/>
          <w:sz w:val="24"/>
        </w:rPr>
      </w:pPr>
      <w:r>
        <w:rPr>
          <w:rFonts w:hint="eastAsia" w:ascii="Times New Roman" w:hAnsi="Times New Roman" w:eastAsia="方正仿宋_GBK"/>
          <w:color w:val="262626"/>
          <w:kern w:val="0"/>
          <w:sz w:val="24"/>
        </w:rPr>
        <w:t>提高知识产权审查管理水平。深入推进一流专利商标审查机构建设，完善专利商标审查政策和管理体系，优化审查协作机制，持续提升授权确权质量。探索实用新型审查制度改革。完善集体商标、证明商标审查标准，持续优化地理标志审查认定工作。完善版权登记制度，研究建设全国统一的版权登记信息服务平台。制定发布植物新品种权审查指南，完善审查模式和测试体系。加快实施实质性派生品种制度，研究制定有关鉴定标准。</w:t>
      </w:r>
    </w:p>
    <w:p w14:paraId="0DE52A1C">
      <w:pPr>
        <w:spacing w:line="480" w:lineRule="exact"/>
        <w:ind w:firstLine="480" w:firstLineChars="200"/>
        <w:rPr>
          <w:rFonts w:hint="eastAsia" w:ascii="Times New Roman" w:hAnsi="Times New Roman" w:eastAsia="方正仿宋_GBK"/>
          <w:color w:val="262626"/>
          <w:kern w:val="0"/>
          <w:sz w:val="24"/>
          <w:lang w:eastAsia="zh-CN"/>
        </w:rPr>
      </w:pPr>
      <w:r>
        <w:rPr>
          <w:rFonts w:hint="eastAsia" w:ascii="Times New Roman" w:hAnsi="Times New Roman" w:eastAsia="方正仿宋_GBK"/>
          <w:color w:val="262626"/>
          <w:kern w:val="0"/>
          <w:sz w:val="24"/>
        </w:rPr>
        <w:t>（八）加强知识产权公共服务</w:t>
      </w:r>
    </w:p>
    <w:p w14:paraId="3E4B1268">
      <w:pPr>
        <w:spacing w:line="480" w:lineRule="exact"/>
        <w:ind w:firstLine="480" w:firstLineChars="200"/>
        <w:rPr>
          <w:rFonts w:hint="eastAsia" w:ascii="Times New Roman" w:hAnsi="Times New Roman" w:eastAsia="方正仿宋_GBK"/>
          <w:color w:val="262626"/>
          <w:kern w:val="0"/>
          <w:sz w:val="24"/>
          <w:lang w:eastAsia="zh-CN"/>
        </w:rPr>
      </w:pPr>
      <w:r>
        <w:rPr>
          <w:rFonts w:hint="eastAsia" w:ascii="Times New Roman" w:hAnsi="Times New Roman" w:eastAsia="方正仿宋_GBK"/>
          <w:color w:val="262626"/>
          <w:kern w:val="0"/>
          <w:sz w:val="24"/>
        </w:rPr>
        <w:t>强化知识产权公共服务能力。健全知识产权公共服务体系，加强部际协同、央地协作、区域合作，强化省域内知识产权公共服务机构统筹管理，支持有条件的地市和区县加强公共服务专业队伍建设。强化省级版权公共服务机构建设，重点加强对地市级版权公共服务机构的指导和培育。强化知识产权信息公共服务供需匹配，推动知识产权信息公共服务专业化、特色化发展。加强对技术与创新支持中心等机构的指导和培育。支持有条件的出海综合服务港集成知识产权公共服务。推进重点产业园区知识产权公共服务工作站建设。</w:t>
      </w:r>
    </w:p>
    <w:p w14:paraId="2E6F2F82">
      <w:pPr>
        <w:spacing w:line="480" w:lineRule="exact"/>
        <w:ind w:firstLine="480" w:firstLineChars="200"/>
        <w:rPr>
          <w:rFonts w:hint="eastAsia" w:ascii="Times New Roman" w:hAnsi="Times New Roman" w:eastAsia="方正仿宋_GBK"/>
          <w:color w:val="262626"/>
          <w:kern w:val="0"/>
          <w:sz w:val="24"/>
        </w:rPr>
      </w:pPr>
      <w:r>
        <w:rPr>
          <w:rFonts w:hint="eastAsia" w:ascii="Times New Roman" w:hAnsi="Times New Roman" w:eastAsia="方正仿宋_GBK"/>
          <w:color w:val="262626"/>
          <w:kern w:val="0"/>
          <w:sz w:val="24"/>
        </w:rPr>
        <w:t>提升知识产权公共服务质效。开展优化知识产权领域营商环境试点，形成更多可复制可推广的改革举措。发布实施知识产权公共服务国家标准，推动知识产权事项线上线下无差别受理、同标准办理。健全知识产权数据资源管理体系。完善知识产权数据相关标准规范，提升数据资源开发利用水平。加强国家知识产权大数据中心和公共服务平台建设，优化涉外知识产权保护、专利转化运用等功能。开展知识产权公共服务助企惠企行动。加强知识产权公共服务机构“评估—反馈—优化”闭环管理，不断提高知识产权公共服务质量。</w:t>
      </w:r>
    </w:p>
    <w:p w14:paraId="6BFFF135">
      <w:pPr>
        <w:spacing w:line="480" w:lineRule="exact"/>
        <w:ind w:firstLine="480" w:firstLineChars="200"/>
        <w:rPr>
          <w:rFonts w:hint="eastAsia" w:ascii="Times New Roman" w:hAnsi="Times New Roman" w:eastAsia="方正仿宋_GBK"/>
          <w:color w:val="262626"/>
          <w:kern w:val="0"/>
          <w:sz w:val="24"/>
          <w:lang w:eastAsia="zh-CN"/>
        </w:rPr>
      </w:pPr>
      <w:r>
        <w:rPr>
          <w:rFonts w:hint="eastAsia" w:ascii="Times New Roman" w:hAnsi="Times New Roman" w:eastAsia="方正仿宋_GBK"/>
          <w:color w:val="262626"/>
          <w:kern w:val="0"/>
          <w:sz w:val="24"/>
        </w:rPr>
        <w:t>（九）强化知识产权社会共治</w:t>
      </w:r>
    </w:p>
    <w:p w14:paraId="0E699088">
      <w:pPr>
        <w:spacing w:line="480" w:lineRule="exact"/>
        <w:ind w:firstLine="480" w:firstLineChars="200"/>
        <w:rPr>
          <w:rFonts w:hint="eastAsia" w:ascii="Times New Roman" w:hAnsi="Times New Roman" w:eastAsia="方正仿宋_GBK"/>
          <w:color w:val="262626"/>
          <w:kern w:val="0"/>
          <w:sz w:val="24"/>
          <w:lang w:eastAsia="zh-CN"/>
        </w:rPr>
      </w:pPr>
      <w:r>
        <w:rPr>
          <w:rFonts w:hint="eastAsia" w:ascii="Times New Roman" w:hAnsi="Times New Roman" w:eastAsia="方正仿宋_GBK"/>
          <w:color w:val="262626"/>
          <w:kern w:val="0"/>
          <w:sz w:val="24"/>
        </w:rPr>
        <w:t>持续推进知识产权领域诚信体系建设。研究制定知识产权领域诚信体系建设管理办法，健全知识产权领域信用信息公示、失信惩戒、信用修复制度。推广知识产权领域信用承诺制，依法依规对知识产权领域违法失信行为进行惩戒，加大典型案例曝光力度。探索开展知识产权信用评价，研究制定知识产权信用评价国家标准，培育知识产权信用评价第三方服务机构。持续加强科研人员知识产权意识规范引导和科研诚信管理。</w:t>
      </w:r>
    </w:p>
    <w:p w14:paraId="4F09B5AD">
      <w:pPr>
        <w:spacing w:line="480" w:lineRule="exact"/>
        <w:ind w:firstLine="480" w:firstLineChars="200"/>
        <w:rPr>
          <w:rFonts w:hint="eastAsia" w:ascii="Times New Roman" w:hAnsi="Times New Roman" w:eastAsia="方正仿宋_GBK"/>
          <w:color w:val="262626"/>
          <w:kern w:val="0"/>
          <w:sz w:val="24"/>
        </w:rPr>
      </w:pPr>
      <w:r>
        <w:rPr>
          <w:rFonts w:hint="eastAsia" w:ascii="Times New Roman" w:hAnsi="Times New Roman" w:eastAsia="方正仿宋_GBK"/>
          <w:color w:val="262626"/>
          <w:kern w:val="0"/>
          <w:sz w:val="24"/>
        </w:rPr>
        <w:t>加强知识产权人才培养。建立全链条人才培养体系，加快建设高层次、复合型、应用型人才队伍。强化知识产权执法司法、行政裁决队伍建设，加强人才培养交流，大力提升专业化、职业化水平。完善技术调查官制度，加强技术调查官遴选、使用和管理，强化在知识产权执法司法中的应用。加强知识产权调解、公证、仲裁、鉴定人员队伍建设。加强领导干部和国有企业负责人知识产权学习培训。加大对基层知识产权行政执法人员的培训和指导力度。加强国际知识产权学院建设。大力发展知识产权国家高端智库和特色智库。加强知识产权专业人员职称评审工作。加强知识产权专业律师队伍建设。完善专利代理师资格考试制度。</w:t>
      </w:r>
    </w:p>
    <w:p w14:paraId="64BDCE65">
      <w:pPr>
        <w:spacing w:line="480" w:lineRule="exact"/>
        <w:ind w:firstLine="480" w:firstLineChars="200"/>
        <w:rPr>
          <w:rFonts w:hint="eastAsia" w:ascii="Times New Roman" w:hAnsi="Times New Roman" w:eastAsia="方正仿宋_GBK"/>
          <w:color w:val="262626"/>
          <w:kern w:val="0"/>
          <w:sz w:val="24"/>
          <w:lang w:eastAsia="zh-CN"/>
        </w:rPr>
      </w:pPr>
      <w:r>
        <w:rPr>
          <w:rFonts w:hint="eastAsia" w:ascii="Times New Roman" w:hAnsi="Times New Roman" w:eastAsia="方正仿宋_GBK"/>
          <w:color w:val="262626"/>
          <w:kern w:val="0"/>
          <w:sz w:val="24"/>
        </w:rPr>
        <w:t>厚植知识产权文化理念。深入开展知识产权普法宣传，加强中小学知识产权普及教育。创新办好全国知识产权宣传周等品牌宣传活动，做好知识产权强国建设成就宣传。深化传统媒体与新媒体资源融合，建设知识产权融媒体中心，发挥知识产权融媒体传播矩阵作用。鼓励以知识产权为主题的各类文化作品创作和文化活动开展。鼓励各地结合自身产业特色和文化底蕴，开展知识产权宣传教育。</w:t>
      </w:r>
    </w:p>
    <w:p w14:paraId="57966C43">
      <w:pPr>
        <w:spacing w:line="480" w:lineRule="exact"/>
        <w:ind w:firstLine="480" w:firstLineChars="200"/>
        <w:rPr>
          <w:rFonts w:hint="eastAsia" w:ascii="Times New Roman" w:hAnsi="Times New Roman" w:eastAsia="方正仿宋_GBK"/>
          <w:color w:val="262626"/>
          <w:kern w:val="0"/>
          <w:sz w:val="24"/>
          <w:lang w:eastAsia="zh-CN"/>
        </w:rPr>
      </w:pPr>
      <w:r>
        <w:rPr>
          <w:rFonts w:hint="eastAsia" w:ascii="Times New Roman" w:hAnsi="Times New Roman" w:eastAsia="方正仿宋_GBK"/>
          <w:color w:val="262626"/>
          <w:kern w:val="0"/>
          <w:sz w:val="24"/>
        </w:rPr>
        <w:t>五、积极构建服务高水平对外开放的知识产权国际合作新格局</w:t>
      </w:r>
    </w:p>
    <w:p w14:paraId="459B9FC2">
      <w:pPr>
        <w:spacing w:line="480" w:lineRule="exact"/>
        <w:ind w:firstLine="480" w:firstLineChars="200"/>
        <w:rPr>
          <w:rFonts w:hint="eastAsia" w:ascii="Times New Roman" w:hAnsi="Times New Roman" w:eastAsia="方正仿宋_GBK"/>
          <w:color w:val="262626"/>
          <w:kern w:val="0"/>
          <w:sz w:val="24"/>
          <w:lang w:eastAsia="zh-CN"/>
        </w:rPr>
      </w:pPr>
      <w:r>
        <w:rPr>
          <w:rFonts w:hint="eastAsia" w:ascii="Times New Roman" w:hAnsi="Times New Roman" w:eastAsia="方正仿宋_GBK"/>
          <w:color w:val="262626"/>
          <w:kern w:val="0"/>
          <w:sz w:val="24"/>
        </w:rPr>
        <w:t>（十）深度参与全球知识产权治理</w:t>
      </w:r>
    </w:p>
    <w:p w14:paraId="616369D6">
      <w:pPr>
        <w:spacing w:line="480" w:lineRule="exact"/>
        <w:ind w:firstLine="480" w:firstLineChars="200"/>
        <w:rPr>
          <w:rFonts w:hint="eastAsia" w:ascii="Times New Roman" w:hAnsi="Times New Roman" w:eastAsia="方正仿宋_GBK"/>
          <w:color w:val="262626"/>
          <w:kern w:val="0"/>
          <w:sz w:val="24"/>
          <w:lang w:eastAsia="zh-CN"/>
        </w:rPr>
      </w:pPr>
      <w:r>
        <w:rPr>
          <w:rFonts w:hint="eastAsia" w:ascii="Times New Roman" w:hAnsi="Times New Roman" w:eastAsia="方正仿宋_GBK"/>
          <w:color w:val="262626"/>
          <w:kern w:val="0"/>
          <w:sz w:val="24"/>
        </w:rPr>
        <w:t>积极维护和发展知识产权多边合作体系，加强在联合国、世界贸易组织等国际框架和多边机制中的合作，深度参与多双边知识产权谈判，建设性参与世界知识产权组织多边事务，推动完善知识产权全球服务体系。加强知识产权仲裁和调解等领域国际合作，提升国际纠纷解决能力。积极开展全面与进步跨太平洋伙伴关系协定、数字经济伙伴关系协定等多双边经贸协定中的知识产权问题研究和谈判工作，推动与更多国家和地区商签包含与经贸相关知识产权规则的国际协定、地理标志保护协定。深入研究和参与人工智能、大数据、绿色低碳等新兴领域知识产权国际规则和标准制定。</w:t>
      </w:r>
    </w:p>
    <w:p w14:paraId="7601EBE8">
      <w:pPr>
        <w:spacing w:line="480" w:lineRule="exact"/>
        <w:ind w:firstLine="480" w:firstLineChars="200"/>
        <w:rPr>
          <w:rFonts w:hint="eastAsia" w:ascii="Times New Roman" w:hAnsi="Times New Roman" w:eastAsia="方正仿宋_GBK"/>
          <w:color w:val="262626"/>
          <w:kern w:val="0"/>
          <w:sz w:val="24"/>
          <w:lang w:eastAsia="zh-CN"/>
        </w:rPr>
      </w:pPr>
      <w:r>
        <w:rPr>
          <w:rFonts w:hint="eastAsia" w:ascii="Times New Roman" w:hAnsi="Times New Roman" w:eastAsia="方正仿宋_GBK"/>
          <w:color w:val="262626"/>
          <w:kern w:val="0"/>
          <w:sz w:val="24"/>
        </w:rPr>
        <w:t>（十一）持续深化知识产权国际交流合作</w:t>
      </w:r>
    </w:p>
    <w:p w14:paraId="04581263">
      <w:pPr>
        <w:spacing w:line="480" w:lineRule="exact"/>
        <w:ind w:firstLine="480" w:firstLineChars="200"/>
        <w:rPr>
          <w:rFonts w:hint="eastAsia" w:ascii="Times New Roman" w:hAnsi="Times New Roman" w:eastAsia="方正仿宋_GBK"/>
          <w:color w:val="262626"/>
          <w:kern w:val="0"/>
          <w:sz w:val="24"/>
        </w:rPr>
      </w:pPr>
      <w:r>
        <w:rPr>
          <w:rFonts w:hint="eastAsia" w:ascii="Times New Roman" w:hAnsi="Times New Roman" w:eastAsia="方正仿宋_GBK"/>
          <w:color w:val="262626"/>
          <w:kern w:val="0"/>
          <w:sz w:val="24"/>
        </w:rPr>
        <w:t>坚持相互尊重、公平正义、合作共赢，与各国深化知识产权领域合作。高质量推进“一带一路”知识产权合作。深化与重点国家和地区知识产权领域多双边合作，支持全球南方国家知识产权能力提升。加强与主要贸易伙伴的知识产权合作磋商，更好服务产业链供应链国际合作。依托多双边执法合作机制，积极参加国际联合执法行动，依法严厉打击跨国（境）知识产权犯罪。继续巩固和拓展“专利审查高速路”国际合作网络。引导国内创新主体多渠道高质量开展海外专利申请，推进专利与标准协同布局，推动海外发明专利有效量稳步增长。推动更多中国商标品牌和地理标志产品“走出去”。积极发挥非政府组织在知识产权国际交流合作中的作用。打造知识产权国际论坛和品牌活动，持续提升知识产权国际传播能力。支持地方务实开展知识产权对外交流，服务高水平对外开放。</w:t>
      </w:r>
    </w:p>
    <w:p w14:paraId="7D14A060">
      <w:pPr>
        <w:spacing w:line="480" w:lineRule="exact"/>
        <w:ind w:firstLine="480" w:firstLineChars="200"/>
        <w:rPr>
          <w:rFonts w:hint="eastAsia" w:ascii="Times New Roman" w:hAnsi="Times New Roman" w:eastAsia="方正仿宋_GBK"/>
          <w:color w:val="262626"/>
          <w:kern w:val="0"/>
          <w:sz w:val="24"/>
          <w:lang w:eastAsia="zh-CN"/>
        </w:rPr>
      </w:pPr>
      <w:r>
        <w:rPr>
          <w:rFonts w:hint="eastAsia" w:ascii="Times New Roman" w:hAnsi="Times New Roman" w:eastAsia="方正仿宋_GBK"/>
          <w:color w:val="262626"/>
          <w:kern w:val="0"/>
          <w:sz w:val="24"/>
        </w:rPr>
        <w:t>六、加强组织保障</w:t>
      </w:r>
    </w:p>
    <w:p w14:paraId="6B79AB35">
      <w:pPr>
        <w:spacing w:line="480" w:lineRule="exact"/>
        <w:ind w:firstLine="480" w:firstLineChars="200"/>
        <w:rPr>
          <w:rFonts w:hint="eastAsia" w:ascii="Times New Roman" w:hAnsi="Times New Roman" w:eastAsia="方正仿宋_GBK"/>
          <w:color w:val="262626"/>
          <w:kern w:val="0"/>
          <w:sz w:val="24"/>
        </w:rPr>
      </w:pPr>
      <w:r>
        <w:rPr>
          <w:rFonts w:hint="eastAsia" w:ascii="Times New Roman" w:hAnsi="Times New Roman" w:eastAsia="方正仿宋_GBK"/>
          <w:color w:val="262626"/>
          <w:kern w:val="0"/>
          <w:sz w:val="24"/>
        </w:rPr>
        <w:t>坚持党对知识产权工作的全面领导，充分发挥国家知识产权强国建设工作部际联席会议作用，完善统一领导、部门协同、上下联动的工作体系。各地区、各有关部门要高度重视，加强协调配合，结合实际抓好本规划贯彻落实。国家知识产权局要加强统筹协调，会同有关部门做好政策宣传解读，制定年度推进计划，做好规划实施情况动态监测、中期评估和总结评估，确保规划实施有序推进。重大事项及时按程序向党中央、国务院请示报告。</w:t>
      </w:r>
    </w:p>
    <w:p w14:paraId="1E19E7A6">
      <w:pPr>
        <w:rPr>
          <w:rFonts w:hint="eastAsia" w:ascii="Times New Roman" w:hAnsi="Times New Roman" w:eastAsia="方正仿宋_GBK"/>
          <w:color w:val="262626"/>
          <w:kern w:val="0"/>
          <w:sz w:val="24"/>
        </w:rPr>
      </w:pPr>
      <w:r>
        <w:rPr>
          <w:rFonts w:hint="eastAsia" w:ascii="Times New Roman" w:hAnsi="Times New Roman" w:eastAsia="方正仿宋_GBK"/>
          <w:color w:val="262626"/>
          <w:kern w:val="0"/>
          <w:sz w:val="24"/>
        </w:rPr>
        <w:br w:type="page"/>
      </w:r>
    </w:p>
    <w:p w14:paraId="31B9306C">
      <w:pPr>
        <w:widowControl/>
        <w:spacing w:line="480" w:lineRule="exact"/>
        <w:ind w:right="2900"/>
        <w:rPr>
          <w:rFonts w:hint="eastAsia" w:ascii="Times New Roman" w:hAnsi="Times New Roman" w:eastAsia="方正黑体_GBK"/>
          <w:sz w:val="32"/>
          <w:szCs w:val="32"/>
          <w:lang w:eastAsia="zh-CN"/>
        </w:rPr>
      </w:pPr>
      <w:r>
        <w:rPr>
          <w:rFonts w:ascii="Times New Roman" w:hAnsi="Times New Roman" w:eastAsia="方正黑体_GBK"/>
          <w:sz w:val="32"/>
          <w:szCs w:val="32"/>
        </w:rPr>
        <w:t>附件</w:t>
      </w:r>
      <w:r>
        <w:rPr>
          <w:rFonts w:hint="eastAsia" w:ascii="Times New Roman" w:hAnsi="Times New Roman" w:eastAsia="方正黑体_GBK"/>
          <w:sz w:val="32"/>
          <w:szCs w:val="32"/>
          <w:lang w:val="en-US" w:eastAsia="zh-CN"/>
        </w:rPr>
        <w:t>7</w:t>
      </w:r>
    </w:p>
    <w:p w14:paraId="0431A46E">
      <w:pPr>
        <w:widowControl/>
        <w:spacing w:line="480" w:lineRule="exact"/>
        <w:jc w:val="center"/>
        <w:rPr>
          <w:rFonts w:ascii="Times New Roman" w:hAnsi="Times New Roman" w:eastAsia="方正小标宋_GBK"/>
          <w:color w:val="000000"/>
          <w:kern w:val="0"/>
          <w:sz w:val="36"/>
          <w:szCs w:val="36"/>
        </w:rPr>
      </w:pPr>
    </w:p>
    <w:p w14:paraId="4652B576">
      <w:pPr>
        <w:widowControl/>
        <w:spacing w:line="480" w:lineRule="exact"/>
        <w:jc w:val="center"/>
        <w:rPr>
          <w:rFonts w:ascii="Times New Roman" w:hAnsi="Times New Roman" w:eastAsia="方正小标宋_GBK"/>
          <w:color w:val="000000"/>
          <w:kern w:val="0"/>
          <w:sz w:val="36"/>
          <w:szCs w:val="36"/>
        </w:rPr>
      </w:pPr>
      <w:r>
        <w:rPr>
          <w:rFonts w:hint="eastAsia" w:ascii="Times New Roman" w:hAnsi="Times New Roman" w:eastAsia="方正小标宋_GBK"/>
          <w:color w:val="000000"/>
          <w:kern w:val="0"/>
          <w:sz w:val="36"/>
          <w:szCs w:val="36"/>
        </w:rPr>
        <w:t>重庆立法一体推进教育科技人才发展</w:t>
      </w:r>
    </w:p>
    <w:p w14:paraId="1F79F882">
      <w:pPr>
        <w:widowControl/>
        <w:spacing w:line="480" w:lineRule="exact"/>
        <w:jc w:val="center"/>
        <w:rPr>
          <w:rFonts w:ascii="方正楷体_GBK" w:hAnsi="Times New Roman" w:eastAsia="方正楷体_GBK"/>
          <w:b/>
          <w:sz w:val="24"/>
        </w:rPr>
      </w:pPr>
      <w:r>
        <w:rPr>
          <w:rFonts w:hint="eastAsia" w:ascii="方正楷体_GBK" w:hAnsi="Times New Roman" w:eastAsia="方正楷体_GBK"/>
          <w:b/>
          <w:sz w:val="24"/>
        </w:rPr>
        <w:t>（来源：</w:t>
      </w:r>
      <w:r>
        <w:rPr>
          <w:rFonts w:hint="eastAsia" w:ascii="方正楷体_GBK" w:hAnsi="Times New Roman" w:eastAsia="方正楷体_GBK"/>
          <w:b/>
          <w:sz w:val="24"/>
          <w:lang w:val="en-US" w:eastAsia="zh-CN"/>
        </w:rPr>
        <w:t>科技日报</w:t>
      </w:r>
      <w:r>
        <w:rPr>
          <w:rFonts w:hint="eastAsia" w:ascii="方正楷体_GBK" w:hAnsi="Times New Roman" w:eastAsia="方正楷体_GBK"/>
          <w:b/>
          <w:sz w:val="24"/>
        </w:rPr>
        <w:t xml:space="preserve"> </w:t>
      </w:r>
      <w:r>
        <w:rPr>
          <w:rFonts w:ascii="方正楷体_GBK" w:hAnsi="Times New Roman" w:eastAsia="方正楷体_GBK"/>
          <w:b/>
          <w:sz w:val="24"/>
        </w:rPr>
        <w:t xml:space="preserve">     </w:t>
      </w:r>
      <w:r>
        <w:rPr>
          <w:rFonts w:hint="eastAsia" w:ascii="方正楷体_GBK" w:hAnsi="Times New Roman" w:eastAsia="方正楷体_GBK"/>
          <w:b/>
          <w:sz w:val="24"/>
        </w:rPr>
        <w:t>发布时间：202</w:t>
      </w:r>
      <w:r>
        <w:rPr>
          <w:rFonts w:ascii="方正楷体_GBK" w:hAnsi="Times New Roman" w:eastAsia="方正楷体_GBK"/>
          <w:b/>
          <w:sz w:val="24"/>
        </w:rPr>
        <w:t>6</w:t>
      </w:r>
      <w:r>
        <w:rPr>
          <w:rFonts w:hint="eastAsia" w:ascii="方正楷体_GBK" w:hAnsi="Times New Roman" w:eastAsia="方正楷体_GBK"/>
          <w:b/>
          <w:sz w:val="24"/>
        </w:rPr>
        <w:t>-</w:t>
      </w:r>
      <w:r>
        <w:rPr>
          <w:rFonts w:ascii="方正楷体_GBK" w:hAnsi="Times New Roman" w:eastAsia="方正楷体_GBK"/>
          <w:b/>
          <w:sz w:val="24"/>
        </w:rPr>
        <w:t>0</w:t>
      </w:r>
      <w:r>
        <w:rPr>
          <w:rFonts w:hint="eastAsia" w:ascii="方正楷体_GBK" w:hAnsi="Times New Roman" w:eastAsia="方正楷体_GBK"/>
          <w:b/>
          <w:sz w:val="24"/>
          <w:lang w:val="en-US" w:eastAsia="zh-CN"/>
        </w:rPr>
        <w:t>8</w:t>
      </w:r>
      <w:r>
        <w:rPr>
          <w:rFonts w:hint="eastAsia" w:ascii="方正楷体_GBK" w:hAnsi="Times New Roman" w:eastAsia="方正楷体_GBK"/>
          <w:b/>
          <w:sz w:val="24"/>
        </w:rPr>
        <w:t>-</w:t>
      </w:r>
      <w:r>
        <w:rPr>
          <w:rFonts w:ascii="方正楷体_GBK" w:hAnsi="Times New Roman" w:eastAsia="方正楷体_GBK"/>
          <w:b/>
          <w:sz w:val="24"/>
        </w:rPr>
        <w:t>1</w:t>
      </w:r>
      <w:r>
        <w:rPr>
          <w:rFonts w:hint="eastAsia" w:ascii="方正楷体_GBK" w:hAnsi="Times New Roman" w:eastAsia="方正楷体_GBK"/>
          <w:b/>
          <w:sz w:val="24"/>
          <w:lang w:val="en-US" w:eastAsia="zh-CN"/>
        </w:rPr>
        <w:t>2</w:t>
      </w:r>
      <w:r>
        <w:rPr>
          <w:rFonts w:hint="eastAsia" w:ascii="方正楷体_GBK" w:hAnsi="Times New Roman" w:eastAsia="方正楷体_GBK"/>
          <w:b/>
          <w:sz w:val="24"/>
        </w:rPr>
        <w:t>）</w:t>
      </w:r>
    </w:p>
    <w:p w14:paraId="6F6CABAC">
      <w:pPr>
        <w:spacing w:line="480" w:lineRule="exact"/>
        <w:ind w:firstLine="480" w:firstLineChars="200"/>
        <w:rPr>
          <w:rFonts w:ascii="Times New Roman" w:hAnsi="Times New Roman" w:eastAsia="方正仿宋_GBK"/>
          <w:color w:val="262626"/>
          <w:kern w:val="0"/>
          <w:sz w:val="24"/>
        </w:rPr>
      </w:pPr>
    </w:p>
    <w:p w14:paraId="5F9DA440">
      <w:pPr>
        <w:spacing w:line="480" w:lineRule="exact"/>
        <w:ind w:firstLine="480" w:firstLineChars="200"/>
        <w:rPr>
          <w:rFonts w:hint="eastAsia" w:ascii="Times New Roman" w:hAnsi="Times New Roman" w:eastAsia="方正仿宋_GBK"/>
          <w:color w:val="262626"/>
          <w:kern w:val="0"/>
          <w:sz w:val="24"/>
          <w:lang w:eastAsia="zh-CN"/>
        </w:rPr>
      </w:pPr>
      <w:r>
        <w:rPr>
          <w:rFonts w:hint="eastAsia" w:ascii="Times New Roman" w:hAnsi="Times New Roman" w:eastAsia="方正仿宋_GBK"/>
          <w:color w:val="262626"/>
          <w:kern w:val="0"/>
          <w:sz w:val="24"/>
        </w:rPr>
        <w:t>近日，重庆市第六届人民代表大会常务委员会第二十五次会议表决通过《重庆市人民代表大会常务委员会关于一体推进教育科技人才发展的决定》（以下简称《决定》），为加快建设教育强市、创新强市、人才强市提供了坚实法治保障。</w:t>
      </w:r>
    </w:p>
    <w:p w14:paraId="4A9B9942">
      <w:pPr>
        <w:spacing w:line="480" w:lineRule="exact"/>
        <w:ind w:firstLine="480" w:firstLineChars="200"/>
        <w:rPr>
          <w:rFonts w:hint="eastAsia" w:ascii="Times New Roman" w:hAnsi="Times New Roman" w:eastAsia="方正仿宋_GBK"/>
          <w:color w:val="262626"/>
          <w:kern w:val="0"/>
          <w:sz w:val="24"/>
          <w:lang w:eastAsia="zh-CN"/>
        </w:rPr>
      </w:pPr>
      <w:r>
        <w:rPr>
          <w:rFonts w:hint="eastAsia" w:ascii="Times New Roman" w:hAnsi="Times New Roman" w:eastAsia="方正仿宋_GBK"/>
          <w:color w:val="262626"/>
          <w:kern w:val="0"/>
          <w:sz w:val="24"/>
        </w:rPr>
        <w:t>据了解，《决定》共11条，紧扣市委六届九次全会部署，围绕健全统筹协调、产教融合科教融汇、平台基地建设联动、科教协同引才育人、产学研用协同创新、多方投入、科技成果高效转化应用、联动评价、营造一流创新生态服务、工作闭环落实、监督问效等方面，为一体推进构筑起“四梁八柱”。</w:t>
      </w:r>
    </w:p>
    <w:p w14:paraId="592A8475">
      <w:pPr>
        <w:spacing w:line="480" w:lineRule="exact"/>
        <w:ind w:firstLine="480" w:firstLineChars="200"/>
        <w:rPr>
          <w:rFonts w:hint="eastAsia" w:ascii="Times New Roman" w:hAnsi="Times New Roman" w:eastAsia="方正仿宋_GBK"/>
          <w:color w:val="262626"/>
          <w:kern w:val="0"/>
          <w:sz w:val="24"/>
          <w:lang w:eastAsia="zh-CN"/>
        </w:rPr>
      </w:pPr>
      <w:r>
        <w:rPr>
          <w:rFonts w:hint="eastAsia" w:ascii="Times New Roman" w:hAnsi="Times New Roman" w:eastAsia="方正仿宋_GBK"/>
          <w:color w:val="262626"/>
          <w:kern w:val="0"/>
          <w:sz w:val="24"/>
        </w:rPr>
        <w:t>针对长期以来规划脱节、资源分散、评价割裂等共性难题，《决定》建立市级教育科技人才统筹协调机制，推动编制一体化发展规划。在平台联动上，健全平台基地建设联动机制。《决定》明确推动高等学校、科研机构和企业联动建设金凤、嘉陵江、明月湖、三峡等重庆实验室和在渝国家实验室、全国重点实验室、市级重点实验室，促进教育科技人才供需精准对接、要素顺畅流动。</w:t>
      </w:r>
    </w:p>
    <w:p w14:paraId="54011E22">
      <w:pPr>
        <w:spacing w:line="480" w:lineRule="exact"/>
        <w:ind w:firstLine="480" w:firstLineChars="200"/>
        <w:rPr>
          <w:rFonts w:hint="eastAsia" w:ascii="Times New Roman" w:hAnsi="Times New Roman" w:eastAsia="方正仿宋_GBK"/>
          <w:color w:val="262626"/>
          <w:kern w:val="0"/>
          <w:sz w:val="24"/>
          <w:lang w:eastAsia="zh-CN"/>
        </w:rPr>
      </w:pPr>
      <w:r>
        <w:rPr>
          <w:rFonts w:hint="eastAsia" w:ascii="Times New Roman" w:hAnsi="Times New Roman" w:eastAsia="方正仿宋_GBK"/>
          <w:color w:val="262626"/>
          <w:kern w:val="0"/>
          <w:sz w:val="24"/>
        </w:rPr>
        <w:t>在学科建设上，《决定》既强化平台建设与学科建设联动，加快推动高校“双一流”和优势学科建设；又支持引导高校超常布局急需学科、新兴产业和未来产业专业。在人才培养上，《决定》既推动高校、科研机构和企业开展创新型人才共育、共引、共享；又促进跨学科、跨部门、跨地区、跨行业高效调配产业人才集智推进创新突破，加大对基础研究人才、青年科技人才的接力培养和长周期支持力度。</w:t>
      </w:r>
    </w:p>
    <w:p w14:paraId="75122304">
      <w:pPr>
        <w:spacing w:line="480" w:lineRule="exact"/>
        <w:ind w:firstLine="480" w:firstLineChars="200"/>
        <w:rPr>
          <w:rFonts w:hint="eastAsia" w:ascii="Times New Roman" w:hAnsi="Times New Roman" w:eastAsia="方正仿宋_GBK"/>
          <w:color w:val="262626"/>
          <w:kern w:val="0"/>
          <w:sz w:val="24"/>
          <w:lang w:eastAsia="zh-CN"/>
        </w:rPr>
      </w:pPr>
      <w:r>
        <w:rPr>
          <w:rFonts w:hint="eastAsia" w:ascii="Times New Roman" w:hAnsi="Times New Roman" w:eastAsia="方正仿宋_GBK"/>
          <w:color w:val="262626"/>
          <w:kern w:val="0"/>
          <w:sz w:val="24"/>
        </w:rPr>
        <w:t>在产学研用协同和科技成果高效转化等方面。《决定》支持高校、科研机构以“先赋权后行权”、先使用后付费等方式开展科技成果转化，支持科技人员在成果转化收益分配上有更大自主权；健全科技创新尽职容错免责机制，探索“沙盒监管”等新型监管方式，完善青年留渝来渝就业创业服务体系，营造“鼓励探索、宽容失败”的良好环境。同时，以监督闭环确保制度落地。</w:t>
      </w:r>
    </w:p>
    <w:p w14:paraId="3549793F">
      <w:pPr>
        <w:spacing w:line="480" w:lineRule="exact"/>
        <w:ind w:firstLine="480" w:firstLineChars="200"/>
        <w:rPr>
          <w:rFonts w:hint="eastAsia" w:ascii="Times New Roman" w:hAnsi="Times New Roman" w:eastAsia="方正仿宋_GBK"/>
          <w:color w:val="262626"/>
          <w:kern w:val="0"/>
          <w:sz w:val="24"/>
        </w:rPr>
      </w:pPr>
      <w:r>
        <w:rPr>
          <w:rFonts w:hint="eastAsia" w:ascii="Times New Roman" w:hAnsi="Times New Roman" w:eastAsia="方正仿宋_GBK"/>
          <w:color w:val="262626"/>
          <w:kern w:val="0"/>
          <w:sz w:val="24"/>
        </w:rPr>
        <w:t>值得关注的是，同日召开的重庆市六届人大常委会第二十五次会议还表决通过了《重庆市推进科技创新中心建设条例》。一《决定》明晰体制机制改革路径，一《条例》提供科技创新法治保障，两项制度叠加发力，充分彰显重庆以法治护航科技创新和教育科技人才一体发展的坚定担当，为全国地方立法探索教育科技人才良性循环提供了“重庆样本”。</w:t>
      </w:r>
    </w:p>
    <w:p w14:paraId="622B231F">
      <w:pPr>
        <w:rPr>
          <w:rFonts w:hint="eastAsia" w:ascii="Times New Roman" w:hAnsi="Times New Roman" w:eastAsia="方正仿宋_GBK"/>
          <w:color w:val="262626"/>
          <w:kern w:val="0"/>
          <w:sz w:val="24"/>
        </w:rPr>
      </w:pPr>
      <w:r>
        <w:rPr>
          <w:rFonts w:hint="eastAsia" w:ascii="Times New Roman" w:hAnsi="Times New Roman" w:eastAsia="方正仿宋_GBK"/>
          <w:color w:val="262626"/>
          <w:kern w:val="0"/>
          <w:sz w:val="24"/>
        </w:rPr>
        <w:br w:type="page"/>
      </w:r>
    </w:p>
    <w:p w14:paraId="7CC8B24F">
      <w:pPr>
        <w:widowControl/>
        <w:spacing w:line="480" w:lineRule="exact"/>
        <w:ind w:right="2900"/>
        <w:rPr>
          <w:rFonts w:hint="eastAsia" w:ascii="Times New Roman" w:hAnsi="Times New Roman" w:eastAsia="方正黑体_GBK"/>
          <w:sz w:val="32"/>
          <w:szCs w:val="32"/>
          <w:lang w:eastAsia="zh-CN"/>
        </w:rPr>
      </w:pPr>
      <w:r>
        <w:rPr>
          <w:rFonts w:ascii="Times New Roman" w:hAnsi="Times New Roman" w:eastAsia="方正黑体_GBK"/>
          <w:sz w:val="32"/>
          <w:szCs w:val="32"/>
        </w:rPr>
        <w:t>附件</w:t>
      </w:r>
      <w:r>
        <w:rPr>
          <w:rFonts w:hint="eastAsia" w:ascii="Times New Roman" w:hAnsi="Times New Roman" w:eastAsia="方正黑体_GBK"/>
          <w:sz w:val="32"/>
          <w:szCs w:val="32"/>
          <w:lang w:val="en-US" w:eastAsia="zh-CN"/>
        </w:rPr>
        <w:t>8</w:t>
      </w:r>
    </w:p>
    <w:p w14:paraId="4CAC6AF6">
      <w:pPr>
        <w:widowControl/>
        <w:spacing w:line="480" w:lineRule="exact"/>
        <w:jc w:val="center"/>
        <w:rPr>
          <w:rFonts w:ascii="Times New Roman" w:hAnsi="Times New Roman" w:eastAsia="方正小标宋_GBK"/>
          <w:color w:val="000000"/>
          <w:kern w:val="0"/>
          <w:sz w:val="36"/>
          <w:szCs w:val="36"/>
        </w:rPr>
      </w:pPr>
    </w:p>
    <w:p w14:paraId="35D20607">
      <w:pPr>
        <w:widowControl/>
        <w:spacing w:line="480" w:lineRule="exact"/>
        <w:jc w:val="center"/>
        <w:rPr>
          <w:rFonts w:hint="eastAsia" w:ascii="Times New Roman" w:hAnsi="Times New Roman" w:eastAsia="方正小标宋_GBK"/>
          <w:color w:val="000000"/>
          <w:kern w:val="0"/>
          <w:sz w:val="36"/>
          <w:szCs w:val="36"/>
        </w:rPr>
      </w:pPr>
      <w:r>
        <w:rPr>
          <w:rFonts w:hint="eastAsia" w:ascii="Times New Roman" w:hAnsi="Times New Roman" w:eastAsia="方正小标宋_GBK"/>
          <w:color w:val="000000"/>
          <w:kern w:val="0"/>
          <w:sz w:val="36"/>
          <w:szCs w:val="36"/>
        </w:rPr>
        <w:t>《重庆市“十五五”教育科技人才一体发展规划</w:t>
      </w:r>
    </w:p>
    <w:p w14:paraId="5965C564">
      <w:pPr>
        <w:widowControl/>
        <w:spacing w:line="480" w:lineRule="exact"/>
        <w:jc w:val="center"/>
        <w:rPr>
          <w:rFonts w:ascii="Times New Roman" w:hAnsi="Times New Roman" w:eastAsia="方正小标宋_GBK"/>
          <w:color w:val="000000"/>
          <w:kern w:val="0"/>
          <w:sz w:val="36"/>
          <w:szCs w:val="36"/>
        </w:rPr>
      </w:pPr>
      <w:r>
        <w:rPr>
          <w:rFonts w:hint="eastAsia" w:ascii="Times New Roman" w:hAnsi="Times New Roman" w:eastAsia="方正小标宋_GBK"/>
          <w:color w:val="000000"/>
          <w:kern w:val="0"/>
          <w:sz w:val="36"/>
          <w:szCs w:val="36"/>
        </w:rPr>
        <w:t>（2026—2030年）》全文发布</w:t>
      </w:r>
    </w:p>
    <w:p w14:paraId="62AF222D">
      <w:pPr>
        <w:widowControl/>
        <w:spacing w:line="480" w:lineRule="exact"/>
        <w:jc w:val="center"/>
        <w:rPr>
          <w:rFonts w:ascii="方正楷体_GBK" w:hAnsi="Times New Roman" w:eastAsia="方正楷体_GBK"/>
          <w:b/>
          <w:sz w:val="24"/>
        </w:rPr>
      </w:pPr>
      <w:r>
        <w:rPr>
          <w:rFonts w:hint="eastAsia" w:ascii="方正楷体_GBK" w:hAnsi="Times New Roman" w:eastAsia="方正楷体_GBK"/>
          <w:b/>
          <w:sz w:val="24"/>
        </w:rPr>
        <w:t>（来源：</w:t>
      </w:r>
      <w:r>
        <w:rPr>
          <w:rFonts w:hint="eastAsia" w:ascii="方正楷体_GBK" w:hAnsi="Times New Roman" w:eastAsia="方正楷体_GBK"/>
          <w:b/>
          <w:sz w:val="24"/>
          <w:lang w:val="en-US" w:eastAsia="zh-CN"/>
        </w:rPr>
        <w:t>重庆市人民政府网站</w:t>
      </w:r>
      <w:r>
        <w:rPr>
          <w:rFonts w:hint="eastAsia" w:ascii="方正楷体_GBK" w:hAnsi="Times New Roman" w:eastAsia="方正楷体_GBK"/>
          <w:b/>
          <w:sz w:val="24"/>
        </w:rPr>
        <w:t xml:space="preserve"> </w:t>
      </w:r>
      <w:r>
        <w:rPr>
          <w:rFonts w:ascii="方正楷体_GBK" w:hAnsi="Times New Roman" w:eastAsia="方正楷体_GBK"/>
          <w:b/>
          <w:sz w:val="24"/>
        </w:rPr>
        <w:t xml:space="preserve">     </w:t>
      </w:r>
      <w:r>
        <w:rPr>
          <w:rFonts w:hint="eastAsia" w:ascii="方正楷体_GBK" w:hAnsi="Times New Roman" w:eastAsia="方正楷体_GBK"/>
          <w:b/>
          <w:sz w:val="24"/>
        </w:rPr>
        <w:t>发布时间：202</w:t>
      </w:r>
      <w:r>
        <w:rPr>
          <w:rFonts w:ascii="方正楷体_GBK" w:hAnsi="Times New Roman" w:eastAsia="方正楷体_GBK"/>
          <w:b/>
          <w:sz w:val="24"/>
        </w:rPr>
        <w:t>6</w:t>
      </w:r>
      <w:r>
        <w:rPr>
          <w:rFonts w:hint="eastAsia" w:ascii="方正楷体_GBK" w:hAnsi="Times New Roman" w:eastAsia="方正楷体_GBK"/>
          <w:b/>
          <w:sz w:val="24"/>
        </w:rPr>
        <w:t>-</w:t>
      </w:r>
      <w:r>
        <w:rPr>
          <w:rFonts w:ascii="方正楷体_GBK" w:hAnsi="Times New Roman" w:eastAsia="方正楷体_GBK"/>
          <w:b/>
          <w:sz w:val="24"/>
        </w:rPr>
        <w:t>0</w:t>
      </w:r>
      <w:r>
        <w:rPr>
          <w:rFonts w:hint="eastAsia" w:ascii="方正楷体_GBK" w:hAnsi="Times New Roman" w:eastAsia="方正楷体_GBK"/>
          <w:b/>
          <w:sz w:val="24"/>
          <w:lang w:val="en-US" w:eastAsia="zh-CN"/>
        </w:rPr>
        <w:t>8</w:t>
      </w:r>
      <w:r>
        <w:rPr>
          <w:rFonts w:hint="eastAsia" w:ascii="方正楷体_GBK" w:hAnsi="Times New Roman" w:eastAsia="方正楷体_GBK"/>
          <w:b/>
          <w:sz w:val="24"/>
        </w:rPr>
        <w:t>-</w:t>
      </w:r>
      <w:r>
        <w:rPr>
          <w:rFonts w:hint="eastAsia" w:ascii="方正楷体_GBK" w:hAnsi="Times New Roman" w:eastAsia="方正楷体_GBK"/>
          <w:b/>
          <w:sz w:val="24"/>
          <w:lang w:val="en-US" w:eastAsia="zh-CN"/>
        </w:rPr>
        <w:t>27</w:t>
      </w:r>
      <w:r>
        <w:rPr>
          <w:rFonts w:hint="eastAsia" w:ascii="方正楷体_GBK" w:hAnsi="Times New Roman" w:eastAsia="方正楷体_GBK"/>
          <w:b/>
          <w:sz w:val="24"/>
        </w:rPr>
        <w:t>）</w:t>
      </w:r>
    </w:p>
    <w:p w14:paraId="1E125071">
      <w:pPr>
        <w:spacing w:line="480" w:lineRule="exact"/>
        <w:ind w:firstLine="480" w:firstLineChars="200"/>
        <w:rPr>
          <w:rFonts w:ascii="Times New Roman" w:hAnsi="Times New Roman" w:eastAsia="方正仿宋_GBK"/>
          <w:color w:val="262626"/>
          <w:kern w:val="0"/>
          <w:sz w:val="24"/>
        </w:rPr>
      </w:pPr>
    </w:p>
    <w:p w14:paraId="77310A83">
      <w:pPr>
        <w:spacing w:line="480" w:lineRule="exact"/>
        <w:rPr>
          <w:rFonts w:hint="eastAsia" w:ascii="Times New Roman" w:hAnsi="Times New Roman" w:eastAsia="方正仿宋_GBK"/>
          <w:color w:val="262626"/>
          <w:kern w:val="0"/>
          <w:sz w:val="24"/>
          <w:lang w:eastAsia="zh-CN"/>
        </w:rPr>
      </w:pPr>
      <w:r>
        <w:rPr>
          <w:rFonts w:hint="eastAsia" w:ascii="Times New Roman" w:hAnsi="Times New Roman" w:eastAsia="方正仿宋_GBK"/>
          <w:color w:val="262626"/>
          <w:kern w:val="0"/>
          <w:sz w:val="24"/>
        </w:rPr>
        <w:t>各区县（自治县）人民政府，市政府各部门，有关单位：</w:t>
      </w:r>
    </w:p>
    <w:p w14:paraId="3568D1A0">
      <w:pPr>
        <w:spacing w:line="480" w:lineRule="exact"/>
        <w:ind w:firstLine="480" w:firstLineChars="200"/>
        <w:rPr>
          <w:rFonts w:hint="eastAsia" w:ascii="Times New Roman" w:hAnsi="Times New Roman" w:eastAsia="方正仿宋_GBK"/>
          <w:color w:val="262626"/>
          <w:kern w:val="0"/>
          <w:sz w:val="24"/>
        </w:rPr>
      </w:pPr>
      <w:r>
        <w:rPr>
          <w:rFonts w:hint="eastAsia" w:ascii="Times New Roman" w:hAnsi="Times New Roman" w:eastAsia="方正仿宋_GBK"/>
          <w:color w:val="262626"/>
          <w:kern w:val="0"/>
          <w:sz w:val="24"/>
        </w:rPr>
        <w:t>现将《重庆市“十五五”教育科技人才一体发展规划（2026—2030年）》印发给你们，请认真贯彻执行。</w:t>
      </w:r>
    </w:p>
    <w:p w14:paraId="43D0C1E6">
      <w:pPr>
        <w:spacing w:line="480" w:lineRule="exact"/>
        <w:ind w:firstLine="480" w:firstLineChars="200"/>
        <w:jc w:val="right"/>
        <w:rPr>
          <w:rFonts w:hint="eastAsia" w:ascii="Times New Roman" w:hAnsi="Times New Roman" w:eastAsia="方正仿宋_GBK"/>
          <w:color w:val="262626"/>
          <w:kern w:val="0"/>
          <w:sz w:val="24"/>
        </w:rPr>
      </w:pPr>
      <w:r>
        <w:rPr>
          <w:rFonts w:hint="eastAsia" w:ascii="Times New Roman" w:hAnsi="Times New Roman" w:eastAsia="方正仿宋_GBK"/>
          <w:color w:val="262626"/>
          <w:kern w:val="0"/>
          <w:sz w:val="24"/>
        </w:rPr>
        <w:t>重庆市人民政府</w:t>
      </w:r>
    </w:p>
    <w:p w14:paraId="31A28A13">
      <w:pPr>
        <w:spacing w:line="480" w:lineRule="exact"/>
        <w:ind w:firstLine="480" w:firstLineChars="200"/>
        <w:jc w:val="right"/>
        <w:rPr>
          <w:rFonts w:hint="eastAsia" w:ascii="Times New Roman" w:hAnsi="Times New Roman" w:eastAsia="方正仿宋_GBK"/>
          <w:color w:val="262626"/>
          <w:kern w:val="0"/>
          <w:sz w:val="24"/>
        </w:rPr>
      </w:pPr>
      <w:r>
        <w:rPr>
          <w:rFonts w:hint="eastAsia" w:ascii="Times New Roman" w:hAnsi="Times New Roman" w:eastAsia="方正仿宋_GBK"/>
          <w:color w:val="262626"/>
          <w:kern w:val="0"/>
          <w:sz w:val="24"/>
        </w:rPr>
        <w:t>2026年8月3日</w:t>
      </w:r>
    </w:p>
    <w:p w14:paraId="1CAF6DB2">
      <w:pPr>
        <w:spacing w:line="480" w:lineRule="exact"/>
        <w:ind w:firstLine="480" w:firstLineChars="200"/>
        <w:rPr>
          <w:rFonts w:hint="eastAsia" w:ascii="Times New Roman" w:hAnsi="Times New Roman" w:eastAsia="方正仿宋_GBK"/>
          <w:color w:val="262626"/>
          <w:kern w:val="0"/>
          <w:sz w:val="24"/>
        </w:rPr>
      </w:pPr>
      <w:r>
        <w:rPr>
          <w:rFonts w:hint="eastAsia" w:ascii="Times New Roman" w:hAnsi="Times New Roman" w:eastAsia="方正仿宋_GBK"/>
          <w:color w:val="262626"/>
          <w:kern w:val="0"/>
          <w:sz w:val="24"/>
        </w:rPr>
        <w:t>（本文有删减）</w:t>
      </w:r>
    </w:p>
    <w:p w14:paraId="26F46F38">
      <w:pPr>
        <w:spacing w:line="480" w:lineRule="exact"/>
        <w:jc w:val="center"/>
        <w:rPr>
          <w:rFonts w:hint="eastAsia" w:ascii="Times New Roman" w:hAnsi="Times New Roman" w:eastAsia="方正仿宋_GBK"/>
          <w:b/>
          <w:bCs/>
          <w:color w:val="262626"/>
          <w:kern w:val="0"/>
          <w:sz w:val="24"/>
        </w:rPr>
      </w:pPr>
    </w:p>
    <w:p w14:paraId="2926943A">
      <w:pPr>
        <w:spacing w:line="480" w:lineRule="exact"/>
        <w:jc w:val="center"/>
        <w:rPr>
          <w:rFonts w:hint="eastAsia" w:ascii="Times New Roman" w:hAnsi="Times New Roman" w:eastAsia="方正仿宋_GBK"/>
          <w:b/>
          <w:bCs/>
          <w:color w:val="262626"/>
          <w:kern w:val="0"/>
          <w:sz w:val="24"/>
        </w:rPr>
      </w:pPr>
      <w:r>
        <w:rPr>
          <w:rFonts w:hint="eastAsia" w:ascii="Times New Roman" w:hAnsi="Times New Roman" w:eastAsia="方正仿宋_GBK"/>
          <w:b/>
          <w:bCs/>
          <w:color w:val="262626"/>
          <w:kern w:val="0"/>
          <w:sz w:val="24"/>
        </w:rPr>
        <w:t>重庆市“十五五”教育科技人才一体发展规划（2026—2030年）</w:t>
      </w:r>
    </w:p>
    <w:p w14:paraId="62E856BD">
      <w:pPr>
        <w:spacing w:line="480" w:lineRule="exact"/>
        <w:jc w:val="center"/>
        <w:rPr>
          <w:rFonts w:hint="eastAsia" w:ascii="Times New Roman" w:hAnsi="Times New Roman" w:eastAsia="方正仿宋_GBK"/>
          <w:b/>
          <w:bCs/>
          <w:color w:val="262626"/>
          <w:kern w:val="0"/>
          <w:sz w:val="24"/>
        </w:rPr>
      </w:pPr>
    </w:p>
    <w:p w14:paraId="2023AFEE">
      <w:pPr>
        <w:spacing w:line="480" w:lineRule="exact"/>
        <w:ind w:firstLine="480" w:firstLineChars="200"/>
        <w:rPr>
          <w:rFonts w:hint="eastAsia" w:ascii="Times New Roman" w:hAnsi="Times New Roman" w:eastAsia="方正仿宋_GBK"/>
          <w:color w:val="262626"/>
          <w:kern w:val="0"/>
          <w:sz w:val="24"/>
          <w:lang w:eastAsia="zh-CN"/>
        </w:rPr>
      </w:pPr>
      <w:r>
        <w:rPr>
          <w:rFonts w:hint="eastAsia" w:ascii="Times New Roman" w:hAnsi="Times New Roman" w:eastAsia="方正仿宋_GBK"/>
          <w:color w:val="262626"/>
          <w:kern w:val="0"/>
          <w:sz w:val="24"/>
        </w:rPr>
        <w:t>为加快推进教育科技人才一体发展，根据国家有关规划和《重庆市国民经济和社会发展第十五个五年规划纲要》（渝府发〔2026〕7号）等文件精神，制定本规划。</w:t>
      </w:r>
    </w:p>
    <w:p w14:paraId="322585DF">
      <w:pPr>
        <w:spacing w:line="480" w:lineRule="exact"/>
        <w:ind w:firstLine="480" w:firstLineChars="200"/>
        <w:rPr>
          <w:rFonts w:hint="eastAsia" w:ascii="Times New Roman" w:hAnsi="Times New Roman" w:eastAsia="方正仿宋_GBK"/>
          <w:color w:val="262626"/>
          <w:kern w:val="0"/>
          <w:sz w:val="24"/>
          <w:lang w:eastAsia="zh-CN"/>
        </w:rPr>
      </w:pPr>
      <w:r>
        <w:rPr>
          <w:rFonts w:hint="eastAsia" w:ascii="Times New Roman" w:hAnsi="Times New Roman" w:eastAsia="方正仿宋_GBK"/>
          <w:color w:val="262626"/>
          <w:kern w:val="0"/>
          <w:sz w:val="24"/>
        </w:rPr>
        <w:t>一、总体要求</w:t>
      </w:r>
    </w:p>
    <w:p w14:paraId="1ED96098">
      <w:pPr>
        <w:spacing w:line="480" w:lineRule="exact"/>
        <w:ind w:firstLine="480" w:firstLineChars="200"/>
        <w:rPr>
          <w:rFonts w:hint="eastAsia" w:ascii="Times New Roman" w:hAnsi="Times New Roman" w:eastAsia="方正仿宋_GBK"/>
          <w:color w:val="262626"/>
          <w:kern w:val="0"/>
          <w:sz w:val="24"/>
          <w:lang w:eastAsia="zh-CN"/>
        </w:rPr>
      </w:pPr>
      <w:r>
        <w:rPr>
          <w:rFonts w:hint="eastAsia" w:ascii="Times New Roman" w:hAnsi="Times New Roman" w:eastAsia="方正仿宋_GBK"/>
          <w:color w:val="262626"/>
          <w:kern w:val="0"/>
          <w:sz w:val="24"/>
        </w:rPr>
        <w:t>坚持以习近平新时代中国特色社会主义思想为指导，全面贯彻党的二十大和二十届历次全会精神，深入贯彻习近平总书记视察重庆重要讲话重要指示精神，聚焦做实“两大定位”、发挥“三个作用”，坚持教育优先发展、科技自立自强、人才引领驱动，锚定建设成渝地区区域科技创新中心目标，以服务国家重大战略、支撑区域高质量发展为主题，以推动科技创新和产业创新深度融合、构建现代化产业体系为主线，统筹推进教育科技人才一体发展，奋力建设创新强市，为谱写中国式现代化重庆篇章提供强劲动力和坚实支撑。</w:t>
      </w:r>
    </w:p>
    <w:p w14:paraId="722FB9A0">
      <w:pPr>
        <w:spacing w:line="480" w:lineRule="exact"/>
        <w:ind w:firstLine="480" w:firstLineChars="200"/>
        <w:rPr>
          <w:rFonts w:hint="eastAsia" w:ascii="Times New Roman" w:hAnsi="Times New Roman" w:eastAsia="方正仿宋_GBK"/>
          <w:color w:val="262626"/>
          <w:kern w:val="0"/>
          <w:sz w:val="24"/>
          <w:lang w:eastAsia="zh-CN"/>
        </w:rPr>
      </w:pPr>
      <w:r>
        <w:rPr>
          <w:rFonts w:hint="eastAsia" w:ascii="Times New Roman" w:hAnsi="Times New Roman" w:eastAsia="方正仿宋_GBK"/>
          <w:color w:val="262626"/>
          <w:kern w:val="0"/>
          <w:sz w:val="24"/>
        </w:rPr>
        <w:t>到2030年，基本建成创新强市，成渝地区区域科技创新中心建设取得突破性进展，成为科技强国建设重要战略支点。教育科技人才一体改革取得重大突破，教育科技人才一体发展格局基本形成，协同联动效能全面增强，政策协同、资源统筹、评价联动效应更加凸显，制约教育科技人才一体发展的制度性障碍加速突破，“热带雨林”式创新生态不断优化，制度型开放创新的枢纽综合效能充分彰显，创新治理体系和治理能力现代化基本实现。教育对区域高质量发展贡献度显著提升，“158N”教育强市建设全面推进，高质量教育体系不断完善，高等教育区域布局、学科结构、专业设置更加科学合理，“双一流”建设入选高校、学科取得新突破，教育综合实力迈入全国第一梯队。市域科技创新体系效能整体跃升，科技创新集聚效应凸显，以四大重庆实验室为引领的高能级科创平台成为引领科技攻关的中坚力量，“416”科技创新布局实现集中突破，产出一批重大原创性、标志性、引领性科技创新成果，支撑引领主导产业巩固提升、新兴产业发展壮大、未来产业成型起势，综合科技创新水平进入全国科技创新版图第一方阵。高水平科技人才培养和集聚能力明显增强，“近悦远来”的人才发展环境加快形成，人才政策供给更加完善，汇聚一批科技领军人才、卓越工程师、大国工匠、优秀青年人才、高技能人才，造就一支规模宏大、结构合理、素质优良的人才队伍。</w:t>
      </w:r>
    </w:p>
    <w:p w14:paraId="705E3DCC">
      <w:pPr>
        <w:spacing w:line="480" w:lineRule="exact"/>
        <w:ind w:firstLine="480" w:firstLineChars="200"/>
        <w:rPr>
          <w:rFonts w:hint="eastAsia" w:ascii="Times New Roman" w:hAnsi="Times New Roman" w:eastAsia="方正仿宋_GBK"/>
          <w:color w:val="262626"/>
          <w:kern w:val="0"/>
          <w:sz w:val="24"/>
          <w:lang w:eastAsia="zh-CN"/>
        </w:rPr>
      </w:pPr>
      <w:r>
        <w:rPr>
          <w:rFonts w:hint="eastAsia" w:ascii="Times New Roman" w:hAnsi="Times New Roman" w:eastAsia="方正仿宋_GBK"/>
          <w:color w:val="262626"/>
          <w:kern w:val="0"/>
          <w:sz w:val="24"/>
        </w:rPr>
        <w:t>到2035年，成渝地区区域科技创新中心全面建成，科技实力和创新能力居全国前列，重庆在西部地区的辐射带动力、区域影响力、引领支撑力和综合竞争力全面提升，更好支撑打造全国高质量发展重要增长极和新的动力源。</w:t>
      </w:r>
    </w:p>
    <w:p w14:paraId="2B791954">
      <w:pPr>
        <w:spacing w:line="480" w:lineRule="exact"/>
        <w:ind w:firstLine="480" w:firstLineChars="200"/>
        <w:rPr>
          <w:rFonts w:hint="eastAsia" w:ascii="Times New Roman" w:hAnsi="Times New Roman" w:eastAsia="方正仿宋_GBK"/>
          <w:color w:val="262626"/>
          <w:kern w:val="0"/>
          <w:sz w:val="24"/>
          <w:lang w:eastAsia="zh-CN"/>
        </w:rPr>
      </w:pPr>
      <w:r>
        <w:rPr>
          <w:rFonts w:hint="eastAsia" w:ascii="Times New Roman" w:hAnsi="Times New Roman" w:eastAsia="方正仿宋_GBK"/>
          <w:color w:val="262626"/>
          <w:kern w:val="0"/>
          <w:sz w:val="24"/>
        </w:rPr>
        <w:t>二、重点任务</w:t>
      </w:r>
    </w:p>
    <w:p w14:paraId="1BE74AD9">
      <w:pPr>
        <w:spacing w:line="480" w:lineRule="exact"/>
        <w:ind w:firstLine="480" w:firstLineChars="200"/>
        <w:rPr>
          <w:rFonts w:hint="eastAsia" w:ascii="Times New Roman" w:hAnsi="Times New Roman" w:eastAsia="方正仿宋_GBK"/>
          <w:color w:val="262626"/>
          <w:kern w:val="0"/>
          <w:sz w:val="24"/>
          <w:lang w:eastAsia="zh-CN"/>
        </w:rPr>
      </w:pPr>
      <w:r>
        <w:rPr>
          <w:rFonts w:hint="eastAsia" w:ascii="Times New Roman" w:hAnsi="Times New Roman" w:eastAsia="方正仿宋_GBK"/>
          <w:color w:val="262626"/>
          <w:kern w:val="0"/>
          <w:sz w:val="24"/>
        </w:rPr>
        <w:t>（一）引领现代化产业体系建设</w:t>
      </w:r>
    </w:p>
    <w:p w14:paraId="2D068884">
      <w:pPr>
        <w:spacing w:line="480" w:lineRule="exact"/>
        <w:ind w:firstLine="480" w:firstLineChars="200"/>
        <w:rPr>
          <w:rFonts w:hint="eastAsia" w:ascii="Times New Roman" w:hAnsi="Times New Roman" w:eastAsia="方正仿宋_GBK"/>
          <w:color w:val="262626"/>
          <w:kern w:val="0"/>
          <w:sz w:val="24"/>
          <w:lang w:eastAsia="zh-CN"/>
        </w:rPr>
      </w:pPr>
      <w:r>
        <w:rPr>
          <w:rFonts w:hint="eastAsia" w:ascii="Times New Roman" w:hAnsi="Times New Roman" w:eastAsia="方正仿宋_GBK"/>
          <w:color w:val="262626"/>
          <w:kern w:val="0"/>
          <w:sz w:val="24"/>
        </w:rPr>
        <w:t>1．打造四大创新策源地。坚持“四个面向”战略导向，迭代升级“416”科技创新布局，加快打造数智科技、生命健康、新材料、绿色低碳四大创新策源地。聚焦16个重点领域，完善“领军人物+支撑平台+核心技术+标志成果”攻关机制，重点突破人工智能、智能制造、先进计算与新型软件、高分子与复合材料、精准医疗、高端装备材料、新能源与新型储能、生物制造等8个优势领域，梯度培育网络通信、创新药物、现代农业、绿色建造、资源再生利用、生态保护与修复、新型生物材料、先进光电与量子材料等8个潜力领域，突破一批关键核心技术、产出一批重要创新成果。实施新技术新产品新场景大规模应用示范行动，建设国家人工智能应用中试基地（人力资源服务方向），建成现代化人力资源效能中心。聚焦低空空域管理、“车路云网图”一体化、智慧铁海联运、生物能源等打造一批新领域新赛道应用场景，培育发展新质生产力。</w:t>
      </w:r>
    </w:p>
    <w:p w14:paraId="64C9D1D9">
      <w:pPr>
        <w:spacing w:line="480" w:lineRule="exact"/>
        <w:ind w:firstLine="480" w:firstLineChars="200"/>
        <w:rPr>
          <w:rFonts w:hint="eastAsia" w:ascii="Times New Roman" w:hAnsi="Times New Roman" w:eastAsia="方正仿宋_GBK"/>
          <w:color w:val="262626"/>
          <w:kern w:val="0"/>
          <w:sz w:val="24"/>
          <w:lang w:eastAsia="zh-CN"/>
        </w:rPr>
      </w:pPr>
      <w:r>
        <w:rPr>
          <w:rFonts w:hint="eastAsia" w:ascii="Times New Roman" w:hAnsi="Times New Roman" w:eastAsia="方正仿宋_GBK"/>
          <w:color w:val="262626"/>
          <w:kern w:val="0"/>
          <w:sz w:val="24"/>
        </w:rPr>
        <w:t>2．增加高质量科技供给。实施基础研究引领计划，加强基础研究战略性、前瞻性、体系化布局，建强数学、物理等基础学科研究平台，统筹推进目标导向和自由探索的基础研究，强化瞄准战略需求的建制化、有组织基础研究，突破一批关键基础理论和技术原理。实施前沿颠覆性技术突破计划，大力开展具身智能、量子科技、前沿新材料等重点领域前沿颠覆性技术研发和场景创新，培育一批新的经济增长点。实施关键核心技术攻坚计划，围绕“203060”重点攻坚突破体系，构建“产业出题、科技答题”攻关体系，靶向实施重大（重点）科技专项，攻克一批关键核心技术。完善科研项目组织实施机制，推进重大任务驱动的有组织科研，建立“政府组织推动+企业主攻发力+重大平台支撑+高校科研机构联动”一体协同创新机制。健全需求导向的选题制度、责权利一致的管理制度、应用导向的评价制度，扩大科研经费“包干制+负面清单”试行范围，开展创新资金“拨改投”改革，探索建立非共识项目特殊支持通道。</w:t>
      </w:r>
    </w:p>
    <w:p w14:paraId="1CCF58DD">
      <w:pPr>
        <w:spacing w:line="480" w:lineRule="exact"/>
        <w:ind w:firstLine="480" w:firstLineChars="200"/>
        <w:rPr>
          <w:rFonts w:hint="eastAsia" w:ascii="Times New Roman" w:hAnsi="Times New Roman" w:eastAsia="方正仿宋_GBK"/>
          <w:color w:val="262626"/>
          <w:kern w:val="0"/>
          <w:sz w:val="24"/>
          <w:lang w:eastAsia="zh-CN"/>
        </w:rPr>
      </w:pPr>
      <w:r>
        <w:rPr>
          <w:rFonts w:hint="eastAsia" w:ascii="Times New Roman" w:hAnsi="Times New Roman" w:eastAsia="方正仿宋_GBK"/>
          <w:color w:val="262626"/>
          <w:kern w:val="0"/>
          <w:sz w:val="24"/>
        </w:rPr>
        <w:t>3．创新赋能塑造“33618”现代制造业集群体系新优势。强化“416”科技创新布局与“33618”现代制造业集群体系深度融合，对接实施产业基础再造工程、重大技术装备攻关任务，深化“产业大脑+未来工厂”新模式，推动“四侧”协同，促进“四链”融合。实施3大主导产业能级跃升、3大支柱产业提质发展、6大特色优势产业加速壮大、18个“新星”产业突破攻坚行动，打通科技加速向现实生产力转化通道，促进自主研发技术产品推广应用，一体推进传统产业优化提升、新兴产业发展壮大、未来产业前瞻布局，培育更多支柱性先导性产业。</w:t>
      </w:r>
    </w:p>
    <w:p w14:paraId="20D9E391">
      <w:pPr>
        <w:spacing w:line="480" w:lineRule="exact"/>
        <w:ind w:firstLine="480" w:firstLineChars="200"/>
        <w:rPr>
          <w:rFonts w:hint="eastAsia" w:ascii="Times New Roman" w:hAnsi="Times New Roman" w:eastAsia="方正仿宋_GBK"/>
          <w:color w:val="262626"/>
          <w:kern w:val="0"/>
          <w:sz w:val="24"/>
          <w:lang w:eastAsia="zh-CN"/>
        </w:rPr>
      </w:pPr>
      <w:r>
        <w:rPr>
          <w:rFonts w:hint="eastAsia" w:ascii="Times New Roman" w:hAnsi="Times New Roman" w:eastAsia="方正仿宋_GBK"/>
          <w:color w:val="262626"/>
          <w:kern w:val="0"/>
          <w:sz w:val="24"/>
        </w:rPr>
        <w:t>4．深化人工智能创新应用。加快建设“两院一湾”（重庆人工智能学院、重庆通用人工智能研究院和重庆人工智能湾区），打造人工智能创新集群。迭代升级全域新型数字底座，高标准建设西部具身智能产业重要集聚地，加快构建国内领先的低空智能网联系统。优化人工智能赋能千行百业全域全时全场景体系，实施人工智能应用场景“智渝赋能”计划，推进数智场景规模应用，建设一批高价值应用场景。加强人工智能全栈技术创新，探索生成式世界模型，突破基础软件、模型算法、群体智能等核心技术。强化科学大模型、科研智能体建设应用，推动基础科研平台智能化升级，打造一批“人工智能+未来实验室”，提升跨模态科学数据处理和高可靠科学假设生成能力。</w:t>
      </w:r>
    </w:p>
    <w:p w14:paraId="78E2F837">
      <w:pPr>
        <w:spacing w:line="480" w:lineRule="exact"/>
        <w:ind w:firstLine="480" w:firstLineChars="200"/>
        <w:rPr>
          <w:rFonts w:hint="eastAsia" w:ascii="Times New Roman" w:hAnsi="Times New Roman" w:eastAsia="方正仿宋_GBK"/>
          <w:color w:val="262626"/>
          <w:kern w:val="0"/>
          <w:sz w:val="24"/>
          <w:lang w:eastAsia="zh-CN"/>
        </w:rPr>
      </w:pPr>
      <w:r>
        <w:rPr>
          <w:rFonts w:hint="eastAsia" w:ascii="Times New Roman" w:hAnsi="Times New Roman" w:eastAsia="方正仿宋_GBK"/>
          <w:color w:val="262626"/>
          <w:kern w:val="0"/>
          <w:sz w:val="24"/>
        </w:rPr>
        <w:t>5．强化企业科技创新主体地位。完善企业梯度培育体系，加速推进高新技术企业和科技型企业“双提质”，实施高成长企业培育行动、小微科技企业孵化行动，建立专精特新企业“主动发现”机制，加大世界500强企业、中国制造业500强企业招引力度，推动企业培育量质齐升。实施企业创新能力提升工程，发挥中央企业高端研发、区域研发优势，完善市属国有企业分类考核评价体系和原始创新激励制度，健全民营企业参与重大项目建设、重大科技任务攻关长效机制，支持外国投资者来渝投资发展，鼓励企业联合高校院所共建联合实验室、技术创新中心、产教融合基地。落实研发费用加计扣除等政策，支持首台（套）装备、首批次材料、首版次软件、首轮次工程流片等创新产品推广应用，规模以上工业企业研发经费投入强度达2%以上。实施产业创新综合体倍增提质工程，支持链主企业、高校及科研机构牵头组建产业创新综合体，深化科技成果转化机制改革试点，推动产学研融通创新，支持高校、科研院所对接企业开展科研攻关，市、区县联动支持承接标志性创新项目。</w:t>
      </w:r>
    </w:p>
    <w:p w14:paraId="7C5287DB">
      <w:pPr>
        <w:spacing w:line="480" w:lineRule="exact"/>
        <w:ind w:firstLine="480" w:firstLineChars="200"/>
        <w:rPr>
          <w:rFonts w:hint="eastAsia" w:ascii="Times New Roman" w:hAnsi="Times New Roman" w:eastAsia="方正仿宋_GBK"/>
          <w:color w:val="262626"/>
          <w:kern w:val="0"/>
          <w:sz w:val="24"/>
          <w:lang w:eastAsia="zh-CN"/>
        </w:rPr>
      </w:pPr>
      <w:r>
        <w:rPr>
          <w:rFonts w:hint="eastAsia" w:ascii="Times New Roman" w:hAnsi="Times New Roman" w:eastAsia="方正仿宋_GBK"/>
          <w:color w:val="262626"/>
          <w:kern w:val="0"/>
          <w:sz w:val="24"/>
        </w:rPr>
        <w:t>6．加快科技成果高效转化。构筑全链条科技成果转化载体矩阵，做强“模力高地”、人工智能OPC（一人公司）社区等新型孵化平台，着力打造高水平科技型企业孵化器，提质发展大学科技园、环大学创新创业生态圈，大力建设概念验证中心、产业中试平台，提速建设高校区域技术转移转化中心（成渝地区）。完善快速高效科技成果转化机制，持续开展职务科技成果单列管理、科技成果“先使用后付费”、“以权代股”、转化收益分配、技术转移职称评聘等机制改革。畅通科技成果转化渠道，建设重庆技术转移学院，壮大技术经理人、职业经理人、投资经理人、孵化器管理人等专业队伍，举办以“渝创星火”“渝创星品”为引领的各类赛事和对接活动。</w:t>
      </w:r>
    </w:p>
    <w:p w14:paraId="46612028">
      <w:pPr>
        <w:spacing w:line="480" w:lineRule="exact"/>
        <w:ind w:firstLine="480" w:firstLineChars="200"/>
        <w:rPr>
          <w:rFonts w:hint="eastAsia" w:ascii="Times New Roman" w:hAnsi="Times New Roman" w:eastAsia="方正仿宋_GBK"/>
          <w:color w:val="262626"/>
          <w:kern w:val="0"/>
          <w:sz w:val="24"/>
          <w:lang w:eastAsia="zh-CN"/>
        </w:rPr>
      </w:pPr>
      <w:r>
        <w:rPr>
          <w:rFonts w:hint="eastAsia" w:ascii="Times New Roman" w:hAnsi="Times New Roman" w:eastAsia="方正仿宋_GBK"/>
          <w:color w:val="262626"/>
          <w:kern w:val="0"/>
          <w:sz w:val="24"/>
        </w:rPr>
        <w:t>7．实施科技服务业培育壮大行动。围绕研发服务、检验检测认证、工程技术、工业设计、知识产权等领域打造高水平科技服务公共平台，健全科技服务平台共建共享机制，引进和培育一批高端化、专业化、具有全国影响力的科技服务企业。支持有条件的区县建设科技服务业集聚区，完善“研发设计—检验检测—中试验证”服务体系。</w:t>
      </w:r>
    </w:p>
    <w:p w14:paraId="7A7ECE92">
      <w:pPr>
        <w:spacing w:line="480" w:lineRule="exact"/>
        <w:ind w:firstLine="480" w:firstLineChars="200"/>
        <w:rPr>
          <w:rFonts w:hint="eastAsia" w:ascii="Times New Roman" w:hAnsi="Times New Roman" w:eastAsia="方正仿宋_GBK"/>
          <w:color w:val="262626"/>
          <w:kern w:val="0"/>
          <w:sz w:val="24"/>
          <w:lang w:eastAsia="zh-CN"/>
        </w:rPr>
      </w:pPr>
      <w:r>
        <w:rPr>
          <w:rFonts w:hint="eastAsia" w:ascii="Times New Roman" w:hAnsi="Times New Roman" w:eastAsia="方正仿宋_GBK"/>
          <w:color w:val="262626"/>
          <w:kern w:val="0"/>
          <w:sz w:val="24"/>
        </w:rPr>
        <w:t>8．实施科技金融服务提升行动。优化重庆市科技金融创新联盟运行机制，构建“股贷债保担租”联动的科技金融服务体系。鼓励和规范发展天使投资、风险投资、私募股权投资，完善“种子—科创—产业”全生命周期股权投资体系，设立科创投资母基金，吸引专注于早期投资的头部机构来渝设立存续期较长的子基金，壮大“投早、投小、投长期、投硬科技”耐心资本集群。实施科技金融“长江领航计划”，落实科技创新和技术改造再贷款政策，推进科技部创新积分制“揭榜挂帅”任务，全市科技贷款余额达1.2万亿元。迭代实施企业上市“千里马”专项行动。探索“科技保险+风险减量”服务模式，加快推出新型科技保险产品，探索建立重大技术攻关风险分担机制。</w:t>
      </w:r>
    </w:p>
    <w:p w14:paraId="5B6A068B">
      <w:pPr>
        <w:spacing w:line="480" w:lineRule="exact"/>
        <w:ind w:firstLine="480" w:firstLineChars="200"/>
        <w:rPr>
          <w:rFonts w:hint="eastAsia" w:ascii="Times New Roman" w:hAnsi="Times New Roman" w:eastAsia="方正仿宋_GBK"/>
          <w:color w:val="262626"/>
          <w:kern w:val="0"/>
          <w:sz w:val="24"/>
          <w:lang w:eastAsia="zh-CN"/>
        </w:rPr>
      </w:pPr>
      <w:r>
        <w:rPr>
          <w:rFonts w:hint="eastAsia" w:ascii="Times New Roman" w:hAnsi="Times New Roman" w:eastAsia="方正仿宋_GBK"/>
          <w:color w:val="262626"/>
          <w:kern w:val="0"/>
          <w:sz w:val="24"/>
        </w:rPr>
        <w:t>（二）壮大高水平优势创新力量</w:t>
      </w:r>
    </w:p>
    <w:p w14:paraId="52957FE1">
      <w:pPr>
        <w:spacing w:line="480" w:lineRule="exact"/>
        <w:ind w:firstLine="480" w:firstLineChars="200"/>
        <w:rPr>
          <w:rFonts w:hint="eastAsia" w:ascii="Times New Roman" w:hAnsi="Times New Roman" w:eastAsia="方正仿宋_GBK"/>
          <w:color w:val="262626"/>
          <w:kern w:val="0"/>
          <w:sz w:val="24"/>
          <w:lang w:eastAsia="zh-CN"/>
        </w:rPr>
      </w:pPr>
      <w:r>
        <w:rPr>
          <w:rFonts w:hint="eastAsia" w:ascii="Times New Roman" w:hAnsi="Times New Roman" w:eastAsia="方正仿宋_GBK"/>
          <w:color w:val="262626"/>
          <w:kern w:val="0"/>
          <w:sz w:val="24"/>
        </w:rPr>
        <w:t>9．聚力建设重庆实验室。健全“平台+人才+任务+机制”运行模式，完善经费保障、运行管理、绩效评价等机制，加快建设金凤、嘉陵江、明月湖、三峡四大重庆实验室，“一室一策”做实重庆实验室“总平台”“总链长”功能，推动高校、科研机构、企业与重庆实验室协同联动，构建“基础研究—应用开发—成果转化”全链条创新生态，着力打造“实验室经济”新形态。</w:t>
      </w:r>
    </w:p>
    <w:p w14:paraId="1BAA0051">
      <w:pPr>
        <w:spacing w:line="480" w:lineRule="exact"/>
        <w:ind w:firstLine="480" w:firstLineChars="200"/>
        <w:rPr>
          <w:rFonts w:hint="eastAsia" w:ascii="Times New Roman" w:hAnsi="Times New Roman" w:eastAsia="方正仿宋_GBK"/>
          <w:color w:val="262626"/>
          <w:kern w:val="0"/>
          <w:sz w:val="24"/>
          <w:lang w:eastAsia="zh-CN"/>
        </w:rPr>
      </w:pPr>
      <w:r>
        <w:rPr>
          <w:rFonts w:hint="eastAsia" w:ascii="Times New Roman" w:hAnsi="Times New Roman" w:eastAsia="方正仿宋_GBK"/>
          <w:color w:val="262626"/>
          <w:kern w:val="0"/>
          <w:sz w:val="24"/>
        </w:rPr>
        <w:t>10．大力提升实验室发展水平。支持张江国家实验室、广州国家实验室重庆基地落地，提质建设在渝全国重点实验室，积极创建精密位移测量、复杂环境土木工程安全等领域全国重点实验室。围绕人工智能、集成电路、深空探索、脑机接口、创新药物等科技前沿和未来产业发展需要，建设一批“特色强、小而精”的市级重点实验室。</w:t>
      </w:r>
    </w:p>
    <w:p w14:paraId="7A4DD436">
      <w:pPr>
        <w:spacing w:line="480" w:lineRule="exact"/>
        <w:ind w:firstLine="480" w:firstLineChars="200"/>
        <w:rPr>
          <w:rFonts w:hint="eastAsia" w:ascii="Times New Roman" w:hAnsi="Times New Roman" w:eastAsia="方正仿宋_GBK"/>
          <w:color w:val="262626"/>
          <w:kern w:val="0"/>
          <w:sz w:val="24"/>
          <w:lang w:eastAsia="zh-CN"/>
        </w:rPr>
      </w:pPr>
      <w:r>
        <w:rPr>
          <w:rFonts w:hint="eastAsia" w:ascii="Times New Roman" w:hAnsi="Times New Roman" w:eastAsia="方正仿宋_GBK"/>
          <w:color w:val="262626"/>
          <w:kern w:val="0"/>
          <w:sz w:val="24"/>
        </w:rPr>
        <w:t>11．提质发展产业技术创新平台。加快推进生猪国家技术创新中心等产业技术创新平台建设，在现代航道、卫星互联网、智能驾驶、集成电路、氢能等领域争创国家技术创新中心、国家制造业创新中心、国家新兴产业创新中心，在智能网联新能源汽车、先进材料、空天信息、未来能源、高端仪器仪表、生物建造等领域布局建设一批市级技术创新中心、制造业技术创新中心、新兴产业创新中心。</w:t>
      </w:r>
    </w:p>
    <w:p w14:paraId="289CBAF1">
      <w:pPr>
        <w:spacing w:line="480" w:lineRule="exact"/>
        <w:ind w:firstLine="480" w:firstLineChars="200"/>
        <w:rPr>
          <w:rFonts w:hint="eastAsia" w:ascii="Times New Roman" w:hAnsi="Times New Roman" w:eastAsia="方正仿宋_GBK"/>
          <w:color w:val="262626"/>
          <w:kern w:val="0"/>
          <w:sz w:val="24"/>
          <w:lang w:eastAsia="zh-CN"/>
        </w:rPr>
      </w:pPr>
      <w:r>
        <w:rPr>
          <w:rFonts w:hint="eastAsia" w:ascii="Times New Roman" w:hAnsi="Times New Roman" w:eastAsia="方正仿宋_GBK"/>
          <w:color w:val="262626"/>
          <w:kern w:val="0"/>
          <w:sz w:val="24"/>
        </w:rPr>
        <w:t>12．着力打造科技基础条件平台。实施科技基础条件建设行动，提质发展国家野外科学观测研究站，做大用好科技资源数据库，推动高校、科研机构、企业等各类创新主体的科研仪器设备和科学数据开放共享，提升科技期刊的学术组织力、创新引领力、人才凝聚力和国际影响力。加快建设大规模分布孔径深空探测雷达，推动实施重大科技创新能力建设项目，打造一批具有国际引领力的工程化、集成化和原创性科技基础设施与重大平台。</w:t>
      </w:r>
    </w:p>
    <w:p w14:paraId="36C12643">
      <w:pPr>
        <w:spacing w:line="480" w:lineRule="exact"/>
        <w:ind w:firstLine="480" w:firstLineChars="200"/>
        <w:rPr>
          <w:rFonts w:hint="eastAsia" w:ascii="Times New Roman" w:hAnsi="Times New Roman" w:eastAsia="方正仿宋_GBK"/>
          <w:color w:val="262626"/>
          <w:kern w:val="0"/>
          <w:sz w:val="24"/>
          <w:lang w:eastAsia="zh-CN"/>
        </w:rPr>
      </w:pPr>
      <w:r>
        <w:rPr>
          <w:rFonts w:hint="eastAsia" w:ascii="Times New Roman" w:hAnsi="Times New Roman" w:eastAsia="方正仿宋_GBK"/>
          <w:color w:val="262626"/>
          <w:kern w:val="0"/>
          <w:sz w:val="24"/>
        </w:rPr>
        <w:t>13．实施高校科技创新能级提升工程。引导重庆大学、西南大学深化智慧能源、先进制造、现代农业、生命科学等领域科技创新。引导陆军军医大学、联勤保障部队工程大学发挥军事医学、军事后勤、军事工程等领域学科优势，深化生命健康、军民融合与应急保障领域科技创新。引导市属高校深化人工智能、智能航运、智能制造、生物医药、绿色交通、新材料等领域科技创新。实施“教育强市区县行”产学研促进行动，深化校企、校地合作，共建科研平台、共担科研项目。加快高校科技成果有效转化，在重点领域产出一批具有全国影响力的原创性成果。</w:t>
      </w:r>
    </w:p>
    <w:p w14:paraId="3F72CE9F">
      <w:pPr>
        <w:spacing w:line="480" w:lineRule="exact"/>
        <w:ind w:firstLine="480" w:firstLineChars="200"/>
        <w:rPr>
          <w:rFonts w:hint="eastAsia" w:ascii="Times New Roman" w:hAnsi="Times New Roman" w:eastAsia="方正仿宋_GBK"/>
          <w:color w:val="262626"/>
          <w:kern w:val="0"/>
          <w:sz w:val="24"/>
          <w:lang w:eastAsia="zh-CN"/>
        </w:rPr>
      </w:pPr>
      <w:r>
        <w:rPr>
          <w:rFonts w:hint="eastAsia" w:ascii="Times New Roman" w:hAnsi="Times New Roman" w:eastAsia="方正仿宋_GBK"/>
          <w:color w:val="262626"/>
          <w:kern w:val="0"/>
          <w:sz w:val="24"/>
        </w:rPr>
        <w:t>14．聚力提升科研机构创新能力。实施市属科研院所重构提升计划，优化结构布局和管理体制，做大做强旗舰科研院所。发挥中央在渝科研院所创新优势，围绕装备制造、智能网联汽车、山地交通、生态环境、地质安全等重点领域协同开展关键共性技术突破和前沿技术攻关。鼓励和规范发展新型研发机构，持续支持重庆通用人工智能研究院、重庆信息与智慧医学研究院等高端研发机构做强能级，采取“平台+项目+团队”的方式布局建设高端仪器仪表、生物制造、柔性电子、低空经济等新域新质创新平台。</w:t>
      </w:r>
    </w:p>
    <w:p w14:paraId="515B6D67">
      <w:pPr>
        <w:spacing w:line="480" w:lineRule="exact"/>
        <w:ind w:firstLine="480" w:firstLineChars="200"/>
        <w:rPr>
          <w:rFonts w:hint="eastAsia" w:ascii="Times New Roman" w:hAnsi="Times New Roman" w:eastAsia="方正仿宋_GBK"/>
          <w:color w:val="262626"/>
          <w:kern w:val="0"/>
          <w:sz w:val="24"/>
          <w:lang w:eastAsia="zh-CN"/>
        </w:rPr>
      </w:pPr>
      <w:r>
        <w:rPr>
          <w:rFonts w:hint="eastAsia" w:ascii="Times New Roman" w:hAnsi="Times New Roman" w:eastAsia="方正仿宋_GBK"/>
          <w:color w:val="262626"/>
          <w:kern w:val="0"/>
          <w:sz w:val="24"/>
        </w:rPr>
        <w:t>（三）强化教育的支撑引领作用</w:t>
      </w:r>
    </w:p>
    <w:p w14:paraId="16EB8B91">
      <w:pPr>
        <w:spacing w:line="480" w:lineRule="exact"/>
        <w:ind w:firstLine="480" w:firstLineChars="200"/>
        <w:rPr>
          <w:rFonts w:hint="eastAsia" w:ascii="Times New Roman" w:hAnsi="Times New Roman" w:eastAsia="方正仿宋_GBK"/>
          <w:color w:val="262626"/>
          <w:kern w:val="0"/>
          <w:sz w:val="24"/>
          <w:lang w:eastAsia="zh-CN"/>
        </w:rPr>
      </w:pPr>
      <w:r>
        <w:rPr>
          <w:rFonts w:hint="eastAsia" w:ascii="Times New Roman" w:hAnsi="Times New Roman" w:eastAsia="方正仿宋_GBK"/>
          <w:color w:val="262626"/>
          <w:kern w:val="0"/>
          <w:sz w:val="24"/>
        </w:rPr>
        <w:t>15．优化高等教育布局。统筹规划院校布局，支持符合条件的市属本科院校更名大学、高职学校升格本科职业学校。“一校一策”支持高校增列博士、硕士学位授予单位，实施“优本扩容”计划，优化人才培养供需结构、层次结构和学科专业结构，理工农医类本科及以上毕业生占比达到60%。根据不同高校功能定位、特色优势，分类推进高校改革，大力推动高校特色发展、错位竞争，健全高校分类管理机制与资源配置机制。</w:t>
      </w:r>
    </w:p>
    <w:p w14:paraId="39820B04">
      <w:pPr>
        <w:spacing w:line="480" w:lineRule="exact"/>
        <w:ind w:firstLine="480" w:firstLineChars="200"/>
        <w:rPr>
          <w:rFonts w:hint="eastAsia" w:ascii="Times New Roman" w:hAnsi="Times New Roman" w:eastAsia="方正仿宋_GBK"/>
          <w:color w:val="262626"/>
          <w:kern w:val="0"/>
          <w:sz w:val="24"/>
          <w:lang w:eastAsia="zh-CN"/>
        </w:rPr>
      </w:pPr>
      <w:r>
        <w:rPr>
          <w:rFonts w:hint="eastAsia" w:ascii="Times New Roman" w:hAnsi="Times New Roman" w:eastAsia="方正仿宋_GBK"/>
          <w:color w:val="262626"/>
          <w:kern w:val="0"/>
          <w:sz w:val="24"/>
        </w:rPr>
        <w:t>16．深入推进“双一流”建设。坚持激发高校内生动力，建实优势学科，“一校一案”支持高校争创“双一流”。支持重庆大学、西南大学根据创新能级和实际贡献动态配置资源，推动其“双一流”建设学科实力提升、争先进位，辐射带动全市高校学科水平整体跃升。对标“双一流”建设标准，强化贡献导向，聚焦在渝高校重点领域优势学科，常态化开展建设成效诊断评价与资源动态配置。支持高校引进顶尖人才，深度参与重庆实验室、大科学装置建设和重大科技攻关项目，建强高水平智库和哲学社会科学重点研究基地，持续产出标志性成果，提升学科核心竞争力。</w:t>
      </w:r>
    </w:p>
    <w:p w14:paraId="38F16A7D">
      <w:pPr>
        <w:spacing w:line="480" w:lineRule="exact"/>
        <w:ind w:firstLine="480" w:firstLineChars="200"/>
        <w:rPr>
          <w:rFonts w:hint="eastAsia" w:ascii="Times New Roman" w:hAnsi="Times New Roman" w:eastAsia="方正仿宋_GBK"/>
          <w:color w:val="262626"/>
          <w:kern w:val="0"/>
          <w:sz w:val="24"/>
          <w:lang w:eastAsia="zh-CN"/>
        </w:rPr>
      </w:pPr>
      <w:r>
        <w:rPr>
          <w:rFonts w:hint="eastAsia" w:ascii="Times New Roman" w:hAnsi="Times New Roman" w:eastAsia="方正仿宋_GBK"/>
          <w:color w:val="262626"/>
          <w:kern w:val="0"/>
          <w:sz w:val="24"/>
        </w:rPr>
        <w:t>17．以需求牵引学科专业动态调整。整合全域数据资源，归集全维度数据要素，建设人才供需对接大数据平台。开展常态化人才供需趋势研判，定期发布人才需求清单和学科专业发展引导清单，加快布局急需学科专业，建强基础学科专业，前瞻培育新兴交叉学科专业，转型升级传统学科专业，调整优化存量学科专业，建立科技发展、国家战略和产业需求牵引的学科专业动态调整机制。强化招生计划、经费投入、平台建设与学科专业建设联动。常态化开展学科专业监测，健全评价体系，完善学科专业退出机制。</w:t>
      </w:r>
    </w:p>
    <w:p w14:paraId="2CBA73BE">
      <w:pPr>
        <w:spacing w:line="480" w:lineRule="exact"/>
        <w:ind w:firstLine="480" w:firstLineChars="200"/>
        <w:rPr>
          <w:rFonts w:hint="eastAsia" w:ascii="Times New Roman" w:hAnsi="Times New Roman" w:eastAsia="方正仿宋_GBK"/>
          <w:color w:val="262626"/>
          <w:kern w:val="0"/>
          <w:sz w:val="24"/>
          <w:lang w:eastAsia="zh-CN"/>
        </w:rPr>
      </w:pPr>
      <w:r>
        <w:rPr>
          <w:rFonts w:hint="eastAsia" w:ascii="Times New Roman" w:hAnsi="Times New Roman" w:eastAsia="方正仿宋_GBK"/>
          <w:color w:val="262626"/>
          <w:kern w:val="0"/>
          <w:sz w:val="24"/>
        </w:rPr>
        <w:t>18．建优建强学科专业体系。实施市级一流学科建设专项和重点学科、“人工智能+学科群”等建设项目，加快构建优势特色学科专业集群，提升学科能级。建设前沿技术交叉研究院与学科交叉中心，支持重庆大学建设全国首个生物建造交叉学科人才培养基地，建强重庆应用数学中心等平台，增强原始创新供给能力，推进学科专业交叉融合，强化复合型人才培养。实施基础学科和交叉学科突破计划，深入推进新工科、新医科、新农科、新文科2.0建设，促进文理渗透、理工交叉、农工结合、医工协同。推进学科专业内涵更新，打造知识图谱和能力图谱，动态更新人才培养方案。提升教师教书育人能力，完善教师发展支持体系。强化人工智能赋能，建设“人工智能+”课程及高质量教材体系，建好虚拟仿真实验平台和未来学习中心。</w:t>
      </w:r>
    </w:p>
    <w:p w14:paraId="29B8CF4A">
      <w:pPr>
        <w:spacing w:line="480" w:lineRule="exact"/>
        <w:ind w:firstLine="480" w:firstLineChars="200"/>
        <w:rPr>
          <w:rFonts w:hint="eastAsia" w:ascii="Times New Roman" w:hAnsi="Times New Roman" w:eastAsia="方正仿宋_GBK"/>
          <w:color w:val="262626"/>
          <w:kern w:val="0"/>
          <w:sz w:val="24"/>
          <w:lang w:eastAsia="zh-CN"/>
        </w:rPr>
      </w:pPr>
      <w:r>
        <w:rPr>
          <w:rFonts w:hint="eastAsia" w:ascii="Times New Roman" w:hAnsi="Times New Roman" w:eastAsia="方正仿宋_GBK"/>
          <w:color w:val="262626"/>
          <w:kern w:val="0"/>
          <w:sz w:val="24"/>
        </w:rPr>
        <w:t>19．筑牢高校人才培养主阵地。实施“渝英荟萃”拔尖创新人才一体化培养工程，完善早期发现与科学选拔机制，探索基础教育与高等教育有效衔接的贯通培养路径。深化科教融汇与产教融合，推动行业企业、科研机构深度参与办学，开放技术平台与生产场景，共建实验室和实训基地，促进场景应用与人才培养深度融合。鼓励科研骨干、技术总师担任产业导师，深度参与人才培养关键环节工作。加快培养科技领军人才、卓越工程师、大国工匠等急需人才，提升人才供给质量。强化平台育人效能，建好国家卓越工程师学院、重庆人工智能学院、现代产业学院等载体，布局跨学科综合性育人平台。加快推进创新教育改革，汇聚国内外优秀高校科研人员来渝开展产业对接、校企合作。</w:t>
      </w:r>
    </w:p>
    <w:p w14:paraId="506314EF">
      <w:pPr>
        <w:spacing w:line="480" w:lineRule="exact"/>
        <w:ind w:firstLine="480" w:firstLineChars="200"/>
        <w:rPr>
          <w:rFonts w:hint="eastAsia" w:ascii="Times New Roman" w:hAnsi="Times New Roman" w:eastAsia="方正仿宋_GBK"/>
          <w:color w:val="262626"/>
          <w:kern w:val="0"/>
          <w:sz w:val="24"/>
          <w:lang w:eastAsia="zh-CN"/>
        </w:rPr>
      </w:pPr>
      <w:r>
        <w:rPr>
          <w:rFonts w:hint="eastAsia" w:ascii="Times New Roman" w:hAnsi="Times New Roman" w:eastAsia="方正仿宋_GBK"/>
          <w:color w:val="262626"/>
          <w:kern w:val="0"/>
          <w:sz w:val="24"/>
        </w:rPr>
        <w:t>（四）打造高水平创新人才队伍</w:t>
      </w:r>
    </w:p>
    <w:p w14:paraId="19186DF5">
      <w:pPr>
        <w:spacing w:line="480" w:lineRule="exact"/>
        <w:ind w:firstLine="480" w:firstLineChars="200"/>
        <w:rPr>
          <w:rFonts w:hint="eastAsia" w:ascii="Times New Roman" w:hAnsi="Times New Roman" w:eastAsia="方正仿宋_GBK"/>
          <w:color w:val="262626"/>
          <w:kern w:val="0"/>
          <w:sz w:val="24"/>
          <w:lang w:eastAsia="zh-CN"/>
        </w:rPr>
      </w:pPr>
      <w:r>
        <w:rPr>
          <w:rFonts w:hint="eastAsia" w:ascii="Times New Roman" w:hAnsi="Times New Roman" w:eastAsia="方正仿宋_GBK"/>
          <w:color w:val="262626"/>
          <w:kern w:val="0"/>
          <w:sz w:val="24"/>
        </w:rPr>
        <w:t>20．加快壮大战略人才力量。强化顶尖人才全球招引，完善项目引才、平台引才体系，强化“一事一议”“一人一策”和集成支持机制。持续强化两院院士后备人才培养。实施青年科技人才担纲创新培优行动，深入开展“百万人才兴重庆”引才活动，引育优秀青年人才50万人。实施新重庆青年人才创新项目，支持培养优秀青年人才500人以上。实施博士后创新人才支持计划，招收博士后5000名以上。强化卓越工程师培养集聚，每年新增卓越工程师及其后备人才1万人以上。迭代“巴渝工匠”行动计划，推进技能强企工程和高技能领军人才培养计划，健全技能人才培育体系。</w:t>
      </w:r>
    </w:p>
    <w:p w14:paraId="7BECC42E">
      <w:pPr>
        <w:spacing w:line="480" w:lineRule="exact"/>
        <w:ind w:firstLine="480" w:firstLineChars="200"/>
        <w:rPr>
          <w:rFonts w:hint="eastAsia" w:ascii="Times New Roman" w:hAnsi="Times New Roman" w:eastAsia="方正仿宋_GBK"/>
          <w:color w:val="262626"/>
          <w:kern w:val="0"/>
          <w:sz w:val="24"/>
          <w:lang w:eastAsia="zh-CN"/>
        </w:rPr>
      </w:pPr>
      <w:r>
        <w:rPr>
          <w:rFonts w:hint="eastAsia" w:ascii="Times New Roman" w:hAnsi="Times New Roman" w:eastAsia="方正仿宋_GBK"/>
          <w:color w:val="262626"/>
          <w:kern w:val="0"/>
          <w:sz w:val="24"/>
        </w:rPr>
        <w:t>21．建强重点行业领域专门人才队伍。加强人工智能人才队伍建设，加大算法工程师、数据标注师、智能驾驶工程师等专业人才引育力度，引进创新团队100个以上。建好用好制造业人才库，加强智能网联新能源汽车等重点产业人才培养，培育制造业领军和青年人才2万名以上。实施卫生健康人才培优行动计划，培养医学领军人才和骨干人才200名以上。强化新兴产业和未来产业人才队伍建设，培育智能绿色能源装备、生物医药、智慧医疗装备等新兴产业人才，加快集聚商业航天、智能感知、数据安全以及空域管理等低空科技人才，壮大企业研发人员、工程师、技能人才和经营管理人才队伍。统筹做好生产性服务业、宣传思想文化、网信创新、涉外法治、乡村振兴、社会工作与养老服务等领域人才队伍建设工作。</w:t>
      </w:r>
    </w:p>
    <w:p w14:paraId="02240F01">
      <w:pPr>
        <w:spacing w:line="480" w:lineRule="exact"/>
        <w:ind w:firstLine="480" w:firstLineChars="200"/>
        <w:rPr>
          <w:rFonts w:hint="eastAsia" w:ascii="Times New Roman" w:hAnsi="Times New Roman" w:eastAsia="方正仿宋_GBK"/>
          <w:color w:val="262626"/>
          <w:kern w:val="0"/>
          <w:sz w:val="24"/>
          <w:lang w:eastAsia="zh-CN"/>
        </w:rPr>
      </w:pPr>
      <w:r>
        <w:rPr>
          <w:rFonts w:hint="eastAsia" w:ascii="Times New Roman" w:hAnsi="Times New Roman" w:eastAsia="方正仿宋_GBK"/>
          <w:color w:val="262626"/>
          <w:kern w:val="0"/>
          <w:sz w:val="24"/>
        </w:rPr>
        <w:t>22．营造优质人才发展环境。实施人才保障提质行动，加强对人才的政治引领和联系服务，深化人才创新创业全周期服务机制改革，修订新重庆人才服务管理办法，升级打造“渝才荟”综合场景，布局建设人才科创产业园，优化人才创新创业服务港功能。实施人才激励提升行动，深化国有企业工资决定机制改革，推动薪酬分配向作出突出贡献的人才和一线关键岗位倾斜；开展科研人员减负专项行动，完善保障人才潜心科研制度，减轻人才非科研负担。实施人才交流畅通行动，支持高校院所、企业探索高层次人才“双聘双用”“科技副总”“产业导师”等用才模式，支持科研人员依规兼职创新、离岗创办企业，加强科技特派员、专家服务团等选派工作。</w:t>
      </w:r>
    </w:p>
    <w:p w14:paraId="1AFDDF82">
      <w:pPr>
        <w:spacing w:line="480" w:lineRule="exact"/>
        <w:ind w:firstLine="480" w:firstLineChars="200"/>
        <w:rPr>
          <w:rFonts w:hint="eastAsia" w:ascii="Times New Roman" w:hAnsi="Times New Roman" w:eastAsia="方正仿宋_GBK"/>
          <w:color w:val="262626"/>
          <w:kern w:val="0"/>
          <w:sz w:val="24"/>
          <w:lang w:eastAsia="zh-CN"/>
        </w:rPr>
      </w:pPr>
      <w:r>
        <w:rPr>
          <w:rFonts w:hint="eastAsia" w:ascii="Times New Roman" w:hAnsi="Times New Roman" w:eastAsia="方正仿宋_GBK"/>
          <w:color w:val="262626"/>
          <w:kern w:val="0"/>
          <w:sz w:val="24"/>
        </w:rPr>
        <w:t>（五）塑造内外联动创新发展格局</w:t>
      </w:r>
    </w:p>
    <w:p w14:paraId="6D472086">
      <w:pPr>
        <w:spacing w:line="480" w:lineRule="exact"/>
        <w:ind w:firstLine="480" w:firstLineChars="200"/>
        <w:rPr>
          <w:rFonts w:hint="eastAsia" w:ascii="Times New Roman" w:hAnsi="Times New Roman" w:eastAsia="方正仿宋_GBK"/>
          <w:color w:val="262626"/>
          <w:kern w:val="0"/>
          <w:sz w:val="24"/>
          <w:lang w:eastAsia="zh-CN"/>
        </w:rPr>
      </w:pPr>
      <w:r>
        <w:rPr>
          <w:rFonts w:hint="eastAsia" w:ascii="Times New Roman" w:hAnsi="Times New Roman" w:eastAsia="方正仿宋_GBK"/>
          <w:color w:val="262626"/>
          <w:kern w:val="0"/>
          <w:sz w:val="24"/>
        </w:rPr>
        <w:t>23．打造市域科创走廊体系。高标准建设以成渝中线科创走廊为主轴、西部（重庆）科学城和两江新区科创城为极核、串联全市科创平台和园区开发区的市域科创走廊，形成“一廊引领、多点支撑、全域联动”的市域科创走廊体系。加快建设“两城科创走廊”，串联科学谷数智科创园、西永微电子产业园、明月湖科创园、两江数字经济产业园等创新区块，联动高校院所、科技企业、科创平台等优质科创资源，组团式打造特色科创社区、产业创新中心，推动人才、成果、资本等创新要素在走廊内高效流动，形成空间集中、产业集群、创新集成的市域创新格局。做强万州、永川、黔江等区域创新引领带动功能，加快建设重庆人工智能湾区、涪陵—长寿新材料产业协同创新园区等特色科创载体，推动平台、人才、技术等创新资源下沉区县，促进中心城区、渝西地区、渝东新城、渝东北三峡库区、渝东南武陵山区差异化、特色化创新发展。实施高新区高质量发展行动，打造“高新区+高校（科研机构）”协同创新发展共同体，推动重庆高新区、璧山高新区、荣昌高新区、永川高新区等国家高新区提质发展、争先进位，支持市级开发区升级为国家级开发区，支持“万达开”创建跨省域国家高新区。</w:t>
      </w:r>
    </w:p>
    <w:p w14:paraId="5F3E7ACC">
      <w:pPr>
        <w:spacing w:line="480" w:lineRule="exact"/>
        <w:ind w:firstLine="480" w:firstLineChars="200"/>
        <w:rPr>
          <w:rFonts w:hint="eastAsia" w:ascii="Times New Roman" w:hAnsi="Times New Roman" w:eastAsia="方正仿宋_GBK"/>
          <w:color w:val="262626"/>
          <w:kern w:val="0"/>
          <w:sz w:val="24"/>
          <w:lang w:eastAsia="zh-CN"/>
        </w:rPr>
      </w:pPr>
      <w:r>
        <w:rPr>
          <w:rFonts w:hint="eastAsia" w:ascii="Times New Roman" w:hAnsi="Times New Roman" w:eastAsia="方正仿宋_GBK"/>
          <w:color w:val="262626"/>
          <w:kern w:val="0"/>
          <w:sz w:val="24"/>
        </w:rPr>
        <w:t>24．纵深推进川渝协同创新。实施川渝高校学科共建共享工程，联合开展世界一流大学和一流学科建设，推动两地高校课程共建、学分互认、教师互聘、学生互访。深化“一城多园”模式共建西部科学城，高水平建设成渝中线科创走廊，打造成渝绵“科技创新金三角”。实施川渝科技创新合作专项，共建先进材料、生物制造等领域川渝联合实验室，推动科技资源开放共享。共同编制发布成渝地区双城经济圈急需紧缺人才目录，共建川渝籍在外高端人才数据库，加快毗邻地区人才发展深度融合，推动高层次人才评定、职称、技能等级等方面互认，推进成渝地区人才公共服务标准一体化建设，促进两地人才资源共用共享、高效流动。</w:t>
      </w:r>
    </w:p>
    <w:p w14:paraId="6D6A86F0">
      <w:pPr>
        <w:spacing w:line="480" w:lineRule="exact"/>
        <w:ind w:firstLine="480" w:firstLineChars="200"/>
        <w:rPr>
          <w:rFonts w:hint="eastAsia" w:ascii="Times New Roman" w:hAnsi="Times New Roman" w:eastAsia="方正仿宋_GBK"/>
          <w:color w:val="262626"/>
          <w:kern w:val="0"/>
          <w:sz w:val="24"/>
          <w:lang w:eastAsia="zh-CN"/>
        </w:rPr>
      </w:pPr>
      <w:r>
        <w:rPr>
          <w:rFonts w:hint="eastAsia" w:ascii="Times New Roman" w:hAnsi="Times New Roman" w:eastAsia="方正仿宋_GBK"/>
          <w:color w:val="262626"/>
          <w:kern w:val="0"/>
          <w:sz w:val="24"/>
        </w:rPr>
        <w:t>25．深化与重点区域的合作。扩大与北京（京津冀）、上海（长三角）、粤港澳大湾区国际科技创新中心和武汉、西安等区域科技创新中心的交流合作，加强与西部地区有关省（区）、长江经济带有关省（市）的科技创新合作，推动高校、科研院所、企业互动交流，联合共建重大科技创新平台、实施重大科技项目。加强与鄂、湘等毗邻地区的科技交流合作，深化鲁渝科技协作，推动科技援疆、援藏工作走深走实。深化与中央企业的协同创新，布局建设一批区域研发总部，落地一批重大科技项目。探索建立“地方出题、央地共答”“国家命题、地方承接”机制，支持本市优势科研力量承担国家重大科技项目。</w:t>
      </w:r>
    </w:p>
    <w:p w14:paraId="357855CD">
      <w:pPr>
        <w:spacing w:line="480" w:lineRule="exact"/>
        <w:ind w:firstLine="480" w:firstLineChars="200"/>
        <w:rPr>
          <w:rFonts w:hint="eastAsia" w:ascii="Times New Roman" w:hAnsi="Times New Roman" w:eastAsia="方正仿宋_GBK"/>
          <w:color w:val="262626"/>
          <w:kern w:val="0"/>
          <w:sz w:val="24"/>
          <w:lang w:eastAsia="zh-CN"/>
        </w:rPr>
      </w:pPr>
      <w:r>
        <w:rPr>
          <w:rFonts w:hint="eastAsia" w:ascii="Times New Roman" w:hAnsi="Times New Roman" w:eastAsia="方正仿宋_GBK"/>
          <w:color w:val="262626"/>
          <w:kern w:val="0"/>
          <w:sz w:val="24"/>
        </w:rPr>
        <w:t>26．深化国际交流合作。以“科技+产业”为主题，深化“一带一路”科技创新合作区建设，推动技术、产品、服务走出去，提质建设中匈食品科学等“一带一路”联合实验室，新培育一批“一带一路”联合实验室。深入实施成渝地区“一带一路”科技合作“双千”计划，推动高校院所发起或参与国际大科学计划和大科学工程。高质量举办“一带一路”科技交流大会、重庆国际人才交流大会，聚焦前沿领域发起高水平国际学术会议，打造国际交流品牌。支持引进培育国际科技组织，积极创建国际科技组织集聚区。推进高水平教育对外开放，积极引进国外知名大学来渝建设一批高质量中外合作办学机构和项目；建好中希文明互鉴中心、陆海新通道职业教育国际合作联盟等重大平台，大力推进“留学重庆”品牌建设。</w:t>
      </w:r>
    </w:p>
    <w:p w14:paraId="39504368">
      <w:pPr>
        <w:spacing w:line="480" w:lineRule="exact"/>
        <w:ind w:firstLine="480" w:firstLineChars="200"/>
        <w:rPr>
          <w:rFonts w:hint="eastAsia" w:ascii="Times New Roman" w:hAnsi="Times New Roman" w:eastAsia="方正仿宋_GBK"/>
          <w:color w:val="262626"/>
          <w:kern w:val="0"/>
          <w:sz w:val="24"/>
          <w:lang w:eastAsia="zh-CN"/>
        </w:rPr>
      </w:pPr>
      <w:r>
        <w:rPr>
          <w:rFonts w:hint="eastAsia" w:ascii="Times New Roman" w:hAnsi="Times New Roman" w:eastAsia="方正仿宋_GBK"/>
          <w:color w:val="262626"/>
          <w:kern w:val="0"/>
          <w:sz w:val="24"/>
        </w:rPr>
        <w:t>（六）深化教育科技人才一体改革</w:t>
      </w:r>
    </w:p>
    <w:p w14:paraId="52AEF3C2">
      <w:pPr>
        <w:spacing w:line="480" w:lineRule="exact"/>
        <w:ind w:firstLine="480" w:firstLineChars="200"/>
        <w:rPr>
          <w:rFonts w:hint="eastAsia" w:ascii="Times New Roman" w:hAnsi="Times New Roman" w:eastAsia="方正仿宋_GBK"/>
          <w:color w:val="262626"/>
          <w:kern w:val="0"/>
          <w:sz w:val="24"/>
          <w:lang w:eastAsia="zh-CN"/>
        </w:rPr>
      </w:pPr>
      <w:r>
        <w:rPr>
          <w:rFonts w:hint="eastAsia" w:ascii="Times New Roman" w:hAnsi="Times New Roman" w:eastAsia="方正仿宋_GBK"/>
          <w:color w:val="262626"/>
          <w:kern w:val="0"/>
          <w:sz w:val="24"/>
        </w:rPr>
        <w:t>27．健全一体推进协调机制。探索建立教育科技人才统筹管理机制，加强战略目标有机衔接、战略任务一体部署、政策措施协调发力、资源要素统筹配置，推动教育科技人才平台基地协同布局。加快推进载体共建、人才共育、转化共促、产研融通、评用贯通等方面的改革试点工作，释放教育科技人才一体发展乘数效应。探索建设教育科技人才一体发展改革重点实践场景，支持区县和各类创新主体承接重点实践场景建设任务。加强创新成果市场准入环境建设，探索“沙盒监管”、触发式监管等新型监管方式。聚焦关键技术、人才、设备等方面，建立健全科技安全风险预警监测体系和评估研判机制。</w:t>
      </w:r>
    </w:p>
    <w:p w14:paraId="1CA39738">
      <w:pPr>
        <w:spacing w:line="480" w:lineRule="exact"/>
        <w:ind w:firstLine="480" w:firstLineChars="200"/>
        <w:rPr>
          <w:rFonts w:hint="eastAsia" w:ascii="Times New Roman" w:hAnsi="Times New Roman" w:eastAsia="方正仿宋_GBK"/>
          <w:color w:val="262626"/>
          <w:kern w:val="0"/>
          <w:sz w:val="24"/>
          <w:lang w:eastAsia="zh-CN"/>
        </w:rPr>
      </w:pPr>
      <w:r>
        <w:rPr>
          <w:rFonts w:hint="eastAsia" w:ascii="Times New Roman" w:hAnsi="Times New Roman" w:eastAsia="方正仿宋_GBK"/>
          <w:color w:val="262626"/>
          <w:kern w:val="0"/>
          <w:sz w:val="24"/>
        </w:rPr>
        <w:t>28．构建政策一体协同机制。推动制定（修订）《重庆市推进科技创新中心建设条例》《重庆市促进人工智能技术发展应用管理条例》《重庆市科学技术普及条例》等地方性法规。强化教育科技人才的政策协同和联动部署，设计形成覆盖“基础研究+技术攻关+成果转化+科技金融+人才支撑”全过程创新生态链的政策工具包，最大程度释放政策协同效能。强化教育科技人才政策一致性评估，提升教育科技人才领域政策目标、力度、周期的一致性和匹配度。</w:t>
      </w:r>
    </w:p>
    <w:p w14:paraId="5F6A9FF5">
      <w:pPr>
        <w:spacing w:line="480" w:lineRule="exact"/>
        <w:ind w:firstLine="480" w:firstLineChars="200"/>
        <w:rPr>
          <w:rFonts w:hint="eastAsia" w:ascii="Times New Roman" w:hAnsi="Times New Roman" w:eastAsia="方正仿宋_GBK"/>
          <w:color w:val="262626"/>
          <w:kern w:val="0"/>
          <w:sz w:val="24"/>
          <w:lang w:eastAsia="zh-CN"/>
        </w:rPr>
      </w:pPr>
      <w:r>
        <w:rPr>
          <w:rFonts w:hint="eastAsia" w:ascii="Times New Roman" w:hAnsi="Times New Roman" w:eastAsia="方正仿宋_GBK"/>
          <w:color w:val="262626"/>
          <w:kern w:val="0"/>
          <w:sz w:val="24"/>
        </w:rPr>
        <w:t>29．优化资源一体统筹机制。加大市、区县两级财政科技投入力度，强化市级科技创新发展资金的统筹管理，构建重大任务部署、科技资金配置、创新绩效评价统筹协同机制，引导全社会研发经费投入、基础研究经费分别年均增长10%以上。健全预算拨款和绩效激励约束机制，适时提高拨款标准和投入水平，力争财政性教育经费支出占全市生产总值的比例达到4%。统筹整合教育经费、科技投入、人才发展资金，聚焦“双一流”建设、创新平台建设、关键核心技术攻关、科技成果转化、高端人才引育等进行一体式投入，建立“投入—绩效—调整”动态机制。以顶尖人才领衔打造标志性创新平台，构建“学科+科研+人才+产业”融合发展模式，强化人才培养、技术创新、产业转化等多重功能，推动高端创新资源全局性配置。</w:t>
      </w:r>
    </w:p>
    <w:p w14:paraId="78267351">
      <w:pPr>
        <w:spacing w:line="480" w:lineRule="exact"/>
        <w:ind w:firstLine="480" w:firstLineChars="200"/>
        <w:rPr>
          <w:rFonts w:hint="eastAsia" w:ascii="Times New Roman" w:hAnsi="Times New Roman" w:eastAsia="方正仿宋_GBK"/>
          <w:color w:val="262626"/>
          <w:kern w:val="0"/>
          <w:sz w:val="24"/>
          <w:lang w:eastAsia="zh-CN"/>
        </w:rPr>
      </w:pPr>
      <w:r>
        <w:rPr>
          <w:rFonts w:hint="eastAsia" w:ascii="Times New Roman" w:hAnsi="Times New Roman" w:eastAsia="方正仿宋_GBK"/>
          <w:color w:val="262626"/>
          <w:kern w:val="0"/>
          <w:sz w:val="24"/>
        </w:rPr>
        <w:t>30．建立评价一体联动机制。开展以成果原创性和学术价值为主的基础研究评价，建立长周期、宽松式的考核机制，优化国际同行评价机制；推行以用户和市场反馈为主的应用研究和技术开发评价，将新技术新产品作为业绩考核、职称评定、人才计划支持的重要依据。推动高校按照基本办学定位实施差异化评价，突出人才培养质量、学科专业特色、服务贡献成效，提高成果转化成效的评价考核比重。持续深化科教界“帽子”治理，加快推动科研人员考核评价激励与报项目、发论文、评奖励等适度脱钩。探索开展多部门、多单位联合评价、结果互认，推动职称评定、职业资格等标准互认互通，强化评价结果的应用与反馈。</w:t>
      </w:r>
    </w:p>
    <w:p w14:paraId="3D88C20A">
      <w:pPr>
        <w:spacing w:line="480" w:lineRule="exact"/>
        <w:ind w:firstLine="480" w:firstLineChars="200"/>
        <w:rPr>
          <w:rFonts w:hint="eastAsia" w:ascii="Times New Roman" w:hAnsi="Times New Roman" w:eastAsia="方正仿宋_GBK"/>
          <w:color w:val="262626"/>
          <w:kern w:val="0"/>
          <w:sz w:val="24"/>
          <w:lang w:eastAsia="zh-CN"/>
        </w:rPr>
      </w:pPr>
      <w:r>
        <w:rPr>
          <w:rFonts w:hint="eastAsia" w:ascii="Times New Roman" w:hAnsi="Times New Roman" w:eastAsia="方正仿宋_GBK"/>
          <w:color w:val="262626"/>
          <w:kern w:val="0"/>
          <w:sz w:val="24"/>
        </w:rPr>
        <w:t>31．深化知识产权综合管理改革。健全以企业为主体、市场为导向、产学研相结合的知识产权高质量创造机制，引导龙头企业、高校、科研机构、行业协会组建产业知识产权创新联合体。优化知识产权保护政策体系，开展人工智能、大数据、绿色低碳等领域知识产权保护规则探索，加强重庆市知识产权保护中心建设，完善行政执法、司法保护、仲裁调解、行业自律、信用监管等协同衔接机制。实施“渝企出海”知识产权护航行动，开展涉外知识产权风险监测预警和纠纷应对指导。深化知识产权全链条运营机制改革，强化重点产业专利池建设，推动建立专利转化尽职免责和容错机制，加强专利动态盘点盘活和分级管理。构建覆盖市、区县、园区的三级知识产权公共服务网络，建立面向重点领域的信息公共服务机制。</w:t>
      </w:r>
    </w:p>
    <w:p w14:paraId="419FF802">
      <w:pPr>
        <w:spacing w:line="480" w:lineRule="exact"/>
        <w:ind w:firstLine="480" w:firstLineChars="200"/>
        <w:rPr>
          <w:rFonts w:hint="eastAsia" w:ascii="Times New Roman" w:hAnsi="Times New Roman" w:eastAsia="方正仿宋_GBK"/>
          <w:color w:val="262626"/>
          <w:kern w:val="0"/>
          <w:sz w:val="24"/>
          <w:lang w:eastAsia="zh-CN"/>
        </w:rPr>
      </w:pPr>
      <w:r>
        <w:rPr>
          <w:rFonts w:hint="eastAsia" w:ascii="Times New Roman" w:hAnsi="Times New Roman" w:eastAsia="方正仿宋_GBK"/>
          <w:color w:val="262626"/>
          <w:kern w:val="0"/>
          <w:sz w:val="24"/>
        </w:rPr>
        <w:t>32．营造崇尚创新的文化氛围。加快建设西部科普中心，创新举办重庆科技节，持续做优科技活动周、全国科普月等品牌科普活动，深化实施科普能力提升计划、全民科学素质行动。完善全覆盖、全链条、协同化、法治化的科技监督与科研诚信治理体系，构建内部自律、独立监督、政府监管、社会参与“四位一体”的监督格局。建立健全研发创新宽容失败、成果转化尽职免责、创业投资尽职合规责任豁免制度。搭建一体化智慧监管平台，深化跨部门、跨区域科技监督联动，推动信息共享和联合惩戒。全面弘扬科学家精神、工匠精神，构建崇尚创新、尊重人才、褒奖奉献的社会氛围。</w:t>
      </w:r>
    </w:p>
    <w:p w14:paraId="482021E6">
      <w:pPr>
        <w:spacing w:line="480" w:lineRule="exact"/>
        <w:ind w:firstLine="480" w:firstLineChars="200"/>
        <w:rPr>
          <w:rFonts w:hint="eastAsia" w:ascii="Times New Roman" w:hAnsi="Times New Roman" w:eastAsia="方正仿宋_GBK"/>
          <w:color w:val="262626"/>
          <w:kern w:val="0"/>
          <w:sz w:val="24"/>
          <w:lang w:eastAsia="zh-CN"/>
        </w:rPr>
      </w:pPr>
      <w:r>
        <w:rPr>
          <w:rFonts w:hint="eastAsia" w:ascii="Times New Roman" w:hAnsi="Times New Roman" w:eastAsia="方正仿宋_GBK"/>
          <w:color w:val="262626"/>
          <w:kern w:val="0"/>
          <w:sz w:val="24"/>
        </w:rPr>
        <w:t>三、加强组织实施</w:t>
      </w:r>
    </w:p>
    <w:p w14:paraId="478B09F1">
      <w:pPr>
        <w:spacing w:line="480" w:lineRule="exact"/>
        <w:ind w:firstLine="480" w:firstLineChars="200"/>
        <w:rPr>
          <w:rFonts w:hint="eastAsia" w:ascii="Times New Roman" w:hAnsi="Times New Roman" w:eastAsia="方正仿宋_GBK"/>
          <w:color w:val="262626"/>
          <w:kern w:val="0"/>
          <w:sz w:val="24"/>
        </w:rPr>
      </w:pPr>
      <w:r>
        <w:rPr>
          <w:rFonts w:hint="eastAsia" w:ascii="Times New Roman" w:hAnsi="Times New Roman" w:eastAsia="方正仿宋_GBK"/>
          <w:color w:val="262626"/>
          <w:kern w:val="0"/>
          <w:sz w:val="24"/>
        </w:rPr>
        <w:t>加强党对教育科技人才一体发展工作的全面领导，充分发挥市委教育工作领导小组、市委科技委员会、市委人才工作领导小组的统筹协调作用，构建部门联动、市与区县协同、全体参与的工作格局。市级有关部门、各区县要压实规划实施责任，细化实施举措，推动重大项目、重大政策、重大改革、重大平台落地，确保规划明确的各项目标任务顺利完成。完善市域创新监测评估体系，做好规划实施的动态监测分析、中期评估、总结评估工作，根据实际情况动态优化任务举措。</w:t>
      </w:r>
    </w:p>
    <w:sectPr>
      <w:pgSz w:w="11906" w:h="16838"/>
      <w:pgMar w:top="1440" w:right="1417" w:bottom="1440" w:left="141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方正小标宋_GBK">
    <w:altName w:val="微软雅黑"/>
    <w:panose1 w:val="03000509000000000000"/>
    <w:charset w:val="86"/>
    <w:family w:val="script"/>
    <w:pitch w:val="default"/>
    <w:sig w:usb0="00000000" w:usb1="00000000" w:usb2="00000010" w:usb3="00000000" w:csb0="00040000" w:csb1="00000000"/>
  </w:font>
  <w:font w:name="方正仿宋_GBK">
    <w:altName w:val="微软雅黑"/>
    <w:panose1 w:val="03000509000000000000"/>
    <w:charset w:val="86"/>
    <w:family w:val="script"/>
    <w:pitch w:val="default"/>
    <w:sig w:usb0="00000000" w:usb1="00000000" w:usb2="00000010" w:usb3="00000000" w:csb0="00040000" w:csb1="00000000"/>
  </w:font>
  <w:font w:name="方正黑体_GBK">
    <w:altName w:val="微软雅黑"/>
    <w:panose1 w:val="03000509000000000000"/>
    <w:charset w:val="86"/>
    <w:family w:val="script"/>
    <w:pitch w:val="default"/>
    <w:sig w:usb0="00000000" w:usb1="00000000" w:usb2="00000010" w:usb3="00000000" w:csb0="00040000" w:csb1="00000000"/>
  </w:font>
  <w:font w:name="方正楷体_GBK">
    <w:altName w:val="微软雅黑"/>
    <w:panose1 w:val="03000509000000000000"/>
    <w:charset w:val="86"/>
    <w:family w:val="script"/>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 w:name="KSOFF9CBECC6">
    <w:panose1 w:val="02010609060101010101"/>
    <w:charset w:val="86"/>
    <w:family w:val="auto"/>
    <w:pitch w:val="default"/>
    <w:sig w:usb0="00000001" w:usb1="00000000" w:usb2="00000000" w:usb3="00000000" w:csb0="00040001" w:csb1="00000000"/>
  </w:font>
  <w:font w:name="KSOFD8A28030">
    <w:panose1 w:val="020B0503020204020204"/>
    <w:charset w:val="86"/>
    <w:family w:val="auto"/>
    <w:pitch w:val="default"/>
    <w:sig w:usb0="00000001" w:usb1="00000000" w:usb2="00000000" w:usb3="00000000" w:csb0="00040001" w:csb1="00000000"/>
  </w:font>
  <w:font w:name="KSOFF3CEDE7F">
    <w:panose1 w:val="020B0703020204020201"/>
    <w:charset w:val="86"/>
    <w:family w:val="auto"/>
    <w:pitch w:val="default"/>
    <w:sig w:usb0="00000001" w:usb1="00000000" w:usb2="00000000" w:usb3="00000000" w:csb0="00040001" w:csb1="00000000"/>
  </w:font>
  <w:font w:name="方正仿宋_GBK">
    <w:altName w:val="微软雅黑"/>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AA2C8E">
    <w:pPr>
      <w:pStyle w:val="5"/>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7B75D47B">
                          <w:pPr>
                            <w:pStyle w:val="5"/>
                          </w:pPr>
                          <w:r>
                            <w:fldChar w:fldCharType="begin"/>
                          </w:r>
                          <w:r>
                            <w:instrText xml:space="preserve"> PAGE  \* MERGEFORMAT </w:instrText>
                          </w:r>
                          <w:r>
                            <w:fldChar w:fldCharType="separate"/>
                          </w:r>
                          <w:r>
                            <w:t>20</w:t>
                          </w:r>
                          <w:r>
                            <w:fldChar w:fldCharType="end"/>
                          </w:r>
                        </w:p>
                      </w:txbxContent>
                    </wps:txbx>
                    <wps:bodyPr vert="horz" wrap="none" lIns="0" tIns="0" rIns="0" bIns="0" anchor="t" anchorCtr="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k/BO9sBAADAAwAADgAAAGRycy9lMm9Eb2MueG1srVPNjtMwEL4j8Q6W&#10;7zTZHFBVNV0tVIuQECAtPIDrOI0l/8kzbVIeAN6AExfuPFefg7GTdJflsoe9JPPnb+b7PF5fD9aw&#10;o4qgvav51aLkTDnpG+32Nf/65fbVkjNA4RphvFM1Pyng15uXL9Z9WKnKd940KjICcbDqQ807xLAq&#10;CpCdsgIWPihHydZHK5DcuC+aKHpCt6aoyvJ10fvYhOilAqDodkzyCTE+BdC3rZZq6+XBKocjalRG&#10;IFGCTgfgmzxt2yqJn9oWFDJTc2KK+UtNyN6lb7FZi9U+itBpOY0gnjLCI05WaEdNL1BbgYIdov4P&#10;ymoZPfgWF9LbYiSSFSEWV+Ujbe46EVTmQlJDuIgOzwcrPx4/R6abmlecOWHpws8/f5x//Tn//s6q&#10;JE8fYEVVd4HqcHjjB1qaOQ4UTKyHNtr0Jz6M8iTu6SKuGpDJdGhZLZclpSTlZofwi/vjIQK+U96y&#10;ZNQ80u1lUcXxA+BYOpekbs7famPyDRr3T4Awx4jKKzCdTkzGiZOFw26Y6O18cyJ29Cioa+fjN856&#10;WomaO3oBnJn3jhRP2zMbcTZ2syGcpIM1R85G8y3mLUtjQbg5IM2aKaTWYz+inhy62CzCtIRpcx76&#10;uer+4W3+Al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EMEAABbQ29udGVudF9UeXBlc10ueG1sUEsBAhQACgAAAAAAh07iQAAAAAAAAAAAAAAAAAYA&#10;AAAAAAAAAAAQAAAAJQMAAF9yZWxzL1BLAQIUABQAAAAIAIdO4kCKFGY80QAAAJQBAAALAAAAAAAA&#10;AAEAIAAAAEkDAABfcmVscy8ucmVsc1BLAQIUAAoAAAAAAIdO4kAAAAAAAAAAAAAAAAAEAAAAAAAA&#10;AAAAEAAAAAAAAABkcnMvUEsBAhQAFAAAAAgAh07iQM6pebnPAAAABQEAAA8AAAAAAAAAAQAgAAAA&#10;IgAAAGRycy9kb3ducmV2LnhtbFBLAQIUABQAAAAIAIdO4kAGT8E72wEAAMADAAAOAAAAAAAAAAEA&#10;IAAAAB4BAABkcnMvZTJvRG9jLnhtbFBLBQYAAAAABgAGAFkBAABrBQAAAAA=&#10;">
              <v:fill on="f" focussize="0,0"/>
              <v:stroke on="f"/>
              <v:imagedata o:title=""/>
              <o:lock v:ext="edit" aspectratio="f"/>
              <v:textbox inset="0mm,0mm,0mm,0mm" style="mso-fit-shape-to-text:t;">
                <w:txbxContent>
                  <w:p w14:paraId="7B75D47B">
                    <w:pPr>
                      <w:pStyle w:val="5"/>
                    </w:pPr>
                    <w:r>
                      <w:fldChar w:fldCharType="begin"/>
                    </w:r>
                    <w:r>
                      <w:instrText xml:space="preserve"> PAGE  \* MERGEFORMAT </w:instrText>
                    </w:r>
                    <w:r>
                      <w:fldChar w:fldCharType="separate"/>
                    </w:r>
                    <w:r>
                      <w:t>20</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EzNzk3Y2Q3MWZhZWUzOTVjMzEyYWJhMTkyNGIzMWYifQ=="/>
  </w:docVars>
  <w:rsids>
    <w:rsidRoot w:val="008A0DE2"/>
    <w:rsid w:val="00002DFE"/>
    <w:rsid w:val="00035BED"/>
    <w:rsid w:val="000752B7"/>
    <w:rsid w:val="0008705A"/>
    <w:rsid w:val="00097C26"/>
    <w:rsid w:val="000B39C4"/>
    <w:rsid w:val="000C2447"/>
    <w:rsid w:val="000D0560"/>
    <w:rsid w:val="001051DF"/>
    <w:rsid w:val="00113EBC"/>
    <w:rsid w:val="00163216"/>
    <w:rsid w:val="00184608"/>
    <w:rsid w:val="001E65D6"/>
    <w:rsid w:val="00241020"/>
    <w:rsid w:val="0024116A"/>
    <w:rsid w:val="0025654F"/>
    <w:rsid w:val="00287E9F"/>
    <w:rsid w:val="0029229B"/>
    <w:rsid w:val="002A2C3D"/>
    <w:rsid w:val="002B0FBC"/>
    <w:rsid w:val="002C4661"/>
    <w:rsid w:val="002E5F6A"/>
    <w:rsid w:val="002E759E"/>
    <w:rsid w:val="002F0D6D"/>
    <w:rsid w:val="002F276E"/>
    <w:rsid w:val="003142D3"/>
    <w:rsid w:val="00315351"/>
    <w:rsid w:val="00321335"/>
    <w:rsid w:val="003275ED"/>
    <w:rsid w:val="00342F5B"/>
    <w:rsid w:val="00343471"/>
    <w:rsid w:val="003525E1"/>
    <w:rsid w:val="00390190"/>
    <w:rsid w:val="003D5EA8"/>
    <w:rsid w:val="003F45B3"/>
    <w:rsid w:val="004202DD"/>
    <w:rsid w:val="004236E4"/>
    <w:rsid w:val="0043064F"/>
    <w:rsid w:val="0044608D"/>
    <w:rsid w:val="00463BAD"/>
    <w:rsid w:val="004948B4"/>
    <w:rsid w:val="004B7F15"/>
    <w:rsid w:val="004C5AD9"/>
    <w:rsid w:val="004E374C"/>
    <w:rsid w:val="0051048A"/>
    <w:rsid w:val="00524A4F"/>
    <w:rsid w:val="00572600"/>
    <w:rsid w:val="00602FCA"/>
    <w:rsid w:val="00603931"/>
    <w:rsid w:val="0060649E"/>
    <w:rsid w:val="00606B51"/>
    <w:rsid w:val="00613C9E"/>
    <w:rsid w:val="00660352"/>
    <w:rsid w:val="006662EF"/>
    <w:rsid w:val="00692850"/>
    <w:rsid w:val="00693AC9"/>
    <w:rsid w:val="006C50BD"/>
    <w:rsid w:val="006F1B9F"/>
    <w:rsid w:val="006F62F3"/>
    <w:rsid w:val="007066FF"/>
    <w:rsid w:val="00731238"/>
    <w:rsid w:val="00776A1D"/>
    <w:rsid w:val="00790A31"/>
    <w:rsid w:val="007B245D"/>
    <w:rsid w:val="007B51B7"/>
    <w:rsid w:val="007C464D"/>
    <w:rsid w:val="007D455D"/>
    <w:rsid w:val="00802DF2"/>
    <w:rsid w:val="0080747F"/>
    <w:rsid w:val="00816C42"/>
    <w:rsid w:val="00841078"/>
    <w:rsid w:val="00874C8B"/>
    <w:rsid w:val="00876B1F"/>
    <w:rsid w:val="008934B8"/>
    <w:rsid w:val="00895D9F"/>
    <w:rsid w:val="008A0DE2"/>
    <w:rsid w:val="00904A54"/>
    <w:rsid w:val="00957A30"/>
    <w:rsid w:val="009A6287"/>
    <w:rsid w:val="009C54EE"/>
    <w:rsid w:val="009F2F87"/>
    <w:rsid w:val="00A241C6"/>
    <w:rsid w:val="00A27EF9"/>
    <w:rsid w:val="00A344BD"/>
    <w:rsid w:val="00A46AF9"/>
    <w:rsid w:val="00A717C3"/>
    <w:rsid w:val="00A94BB7"/>
    <w:rsid w:val="00AA1AFA"/>
    <w:rsid w:val="00AC01A8"/>
    <w:rsid w:val="00AE2817"/>
    <w:rsid w:val="00AE75C0"/>
    <w:rsid w:val="00AF35BA"/>
    <w:rsid w:val="00B6169F"/>
    <w:rsid w:val="00B76027"/>
    <w:rsid w:val="00B927DD"/>
    <w:rsid w:val="00BD0A5C"/>
    <w:rsid w:val="00C22E98"/>
    <w:rsid w:val="00C439DC"/>
    <w:rsid w:val="00C60585"/>
    <w:rsid w:val="00C76B8A"/>
    <w:rsid w:val="00C97EC2"/>
    <w:rsid w:val="00CA0C9E"/>
    <w:rsid w:val="00CA1264"/>
    <w:rsid w:val="00CC14DA"/>
    <w:rsid w:val="00CE353C"/>
    <w:rsid w:val="00D066E4"/>
    <w:rsid w:val="00D82C23"/>
    <w:rsid w:val="00D867E6"/>
    <w:rsid w:val="00DC4FAA"/>
    <w:rsid w:val="00E00312"/>
    <w:rsid w:val="00E06C4E"/>
    <w:rsid w:val="00E354E8"/>
    <w:rsid w:val="00E40CC4"/>
    <w:rsid w:val="00E5118C"/>
    <w:rsid w:val="00E6042A"/>
    <w:rsid w:val="00E61DDA"/>
    <w:rsid w:val="00E915CE"/>
    <w:rsid w:val="00E92638"/>
    <w:rsid w:val="00EA3A2B"/>
    <w:rsid w:val="00EB635F"/>
    <w:rsid w:val="00F273E5"/>
    <w:rsid w:val="00F47CEB"/>
    <w:rsid w:val="00F64B1D"/>
    <w:rsid w:val="00FB6BCA"/>
    <w:rsid w:val="00FC2FBF"/>
    <w:rsid w:val="00FC75DF"/>
    <w:rsid w:val="00FD237C"/>
    <w:rsid w:val="00FF3536"/>
    <w:rsid w:val="01C42B8B"/>
    <w:rsid w:val="04904FA7"/>
    <w:rsid w:val="04A42A91"/>
    <w:rsid w:val="05294D64"/>
    <w:rsid w:val="06345E06"/>
    <w:rsid w:val="07126147"/>
    <w:rsid w:val="0781507A"/>
    <w:rsid w:val="078D1C71"/>
    <w:rsid w:val="08AE6343"/>
    <w:rsid w:val="0A136F96"/>
    <w:rsid w:val="0F0A1DF9"/>
    <w:rsid w:val="106317C1"/>
    <w:rsid w:val="111D5E14"/>
    <w:rsid w:val="134419BD"/>
    <w:rsid w:val="137D0DEC"/>
    <w:rsid w:val="149A59CD"/>
    <w:rsid w:val="15D373E9"/>
    <w:rsid w:val="1715758D"/>
    <w:rsid w:val="1A3F6DFB"/>
    <w:rsid w:val="1E3429EF"/>
    <w:rsid w:val="1F474DE8"/>
    <w:rsid w:val="1F6410B2"/>
    <w:rsid w:val="1F7312F5"/>
    <w:rsid w:val="21856300"/>
    <w:rsid w:val="229C0B63"/>
    <w:rsid w:val="248144B4"/>
    <w:rsid w:val="26AA5F44"/>
    <w:rsid w:val="274912B9"/>
    <w:rsid w:val="28CB21A2"/>
    <w:rsid w:val="2C6D3C9C"/>
    <w:rsid w:val="2C8608B9"/>
    <w:rsid w:val="35A85D44"/>
    <w:rsid w:val="35F26FC0"/>
    <w:rsid w:val="3733163E"/>
    <w:rsid w:val="39A95BE7"/>
    <w:rsid w:val="3B1172FD"/>
    <w:rsid w:val="3EBC016B"/>
    <w:rsid w:val="421A703C"/>
    <w:rsid w:val="43B34785"/>
    <w:rsid w:val="44852FDC"/>
    <w:rsid w:val="44AE5497"/>
    <w:rsid w:val="44DE708D"/>
    <w:rsid w:val="45435142"/>
    <w:rsid w:val="458614D2"/>
    <w:rsid w:val="47AD71EA"/>
    <w:rsid w:val="48014387"/>
    <w:rsid w:val="48FF75D2"/>
    <w:rsid w:val="4A8A736F"/>
    <w:rsid w:val="4B553BDD"/>
    <w:rsid w:val="4FBA24A4"/>
    <w:rsid w:val="4FF04118"/>
    <w:rsid w:val="538232D9"/>
    <w:rsid w:val="55DF4A13"/>
    <w:rsid w:val="57265F00"/>
    <w:rsid w:val="573C5E95"/>
    <w:rsid w:val="587E7A66"/>
    <w:rsid w:val="5C1A42C2"/>
    <w:rsid w:val="5C244881"/>
    <w:rsid w:val="5C855BE8"/>
    <w:rsid w:val="5E3E0745"/>
    <w:rsid w:val="5E56783C"/>
    <w:rsid w:val="5EB63635"/>
    <w:rsid w:val="5F245452"/>
    <w:rsid w:val="608A1A1F"/>
    <w:rsid w:val="6109503A"/>
    <w:rsid w:val="62C51434"/>
    <w:rsid w:val="630C0E11"/>
    <w:rsid w:val="63BC76A7"/>
    <w:rsid w:val="64722EF6"/>
    <w:rsid w:val="651744E6"/>
    <w:rsid w:val="658F108B"/>
    <w:rsid w:val="660C29D2"/>
    <w:rsid w:val="66173D55"/>
    <w:rsid w:val="66827258"/>
    <w:rsid w:val="66AD6467"/>
    <w:rsid w:val="679C6C08"/>
    <w:rsid w:val="6A2E3D63"/>
    <w:rsid w:val="6BC8789F"/>
    <w:rsid w:val="6E113780"/>
    <w:rsid w:val="6F6B6EC0"/>
    <w:rsid w:val="716D396B"/>
    <w:rsid w:val="736600CA"/>
    <w:rsid w:val="73C848E1"/>
    <w:rsid w:val="75D92DD5"/>
    <w:rsid w:val="7B852BF0"/>
    <w:rsid w:val="7D40373A"/>
    <w:rsid w:val="7F0C5FC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Autospacing="1" w:afterAutospacing="1"/>
      <w:jc w:val="left"/>
      <w:outlineLvl w:val="0"/>
    </w:pPr>
    <w:rPr>
      <w:rFonts w:hint="eastAsia" w:ascii="宋体" w:hAnsi="宋体" w:eastAsia="宋体" w:cs="Times New Roman"/>
      <w:b/>
      <w:bCs/>
      <w:kern w:val="44"/>
      <w:sz w:val="48"/>
      <w:szCs w:val="48"/>
    </w:rPr>
  </w:style>
  <w:style w:type="paragraph" w:styleId="3">
    <w:name w:val="heading 2"/>
    <w:basedOn w:val="1"/>
    <w:next w:val="1"/>
    <w:autoRedefine/>
    <w:semiHidden/>
    <w:unhideWhenUsed/>
    <w:qFormat/>
    <w:uiPriority w:val="0"/>
    <w:pPr>
      <w:spacing w:beforeAutospacing="1" w:afterAutospacing="1"/>
      <w:jc w:val="left"/>
      <w:outlineLvl w:val="1"/>
    </w:pPr>
    <w:rPr>
      <w:rFonts w:hint="eastAsia" w:ascii="宋体" w:hAnsi="宋体" w:eastAsia="宋体" w:cs="Times New Roman"/>
      <w:b/>
      <w:bCs/>
      <w:kern w:val="0"/>
      <w:sz w:val="36"/>
      <w:szCs w:val="36"/>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4">
    <w:name w:val="Date"/>
    <w:basedOn w:val="1"/>
    <w:next w:val="1"/>
    <w:link w:val="15"/>
    <w:qFormat/>
    <w:uiPriority w:val="0"/>
    <w:pPr>
      <w:ind w:left="100" w:leftChars="2500"/>
    </w:pPr>
  </w:style>
  <w:style w:type="paragraph" w:styleId="5">
    <w:name w:val="footer"/>
    <w:basedOn w:val="1"/>
    <w:link w:val="14"/>
    <w:qFormat/>
    <w:uiPriority w:val="0"/>
    <w:pPr>
      <w:tabs>
        <w:tab w:val="center" w:pos="4153"/>
        <w:tab w:val="right" w:pos="8306"/>
      </w:tabs>
      <w:snapToGrid w:val="0"/>
      <w:jc w:val="left"/>
    </w:pPr>
    <w:rPr>
      <w:sz w:val="18"/>
      <w:szCs w:val="18"/>
    </w:rPr>
  </w:style>
  <w:style w:type="paragraph" w:styleId="6">
    <w:name w:val="header"/>
    <w:basedOn w:val="1"/>
    <w:link w:val="13"/>
    <w:uiPriority w:val="0"/>
    <w:pPr>
      <w:pBdr>
        <w:bottom w:val="single" w:color="auto" w:sz="6" w:space="1"/>
      </w:pBdr>
      <w:tabs>
        <w:tab w:val="center" w:pos="4153"/>
        <w:tab w:val="right" w:pos="8306"/>
      </w:tabs>
      <w:snapToGrid w:val="0"/>
      <w:jc w:val="center"/>
    </w:pPr>
    <w:rPr>
      <w:sz w:val="18"/>
      <w:szCs w:val="18"/>
    </w:rPr>
  </w:style>
  <w:style w:type="paragraph" w:styleId="7">
    <w:name w:val="Normal (Web)"/>
    <w:basedOn w:val="1"/>
    <w:qFormat/>
    <w:uiPriority w:val="0"/>
    <w:pPr>
      <w:spacing w:beforeAutospacing="1" w:afterAutospacing="1"/>
      <w:jc w:val="left"/>
    </w:pPr>
    <w:rPr>
      <w:rFonts w:cs="Times New Roman"/>
      <w:kern w:val="0"/>
      <w:sz w:val="24"/>
    </w:rPr>
  </w:style>
  <w:style w:type="character" w:styleId="10">
    <w:name w:val="Strong"/>
    <w:basedOn w:val="9"/>
    <w:qFormat/>
    <w:uiPriority w:val="0"/>
    <w:rPr>
      <w:b/>
    </w:rPr>
  </w:style>
  <w:style w:type="character" w:styleId="11">
    <w:name w:val="Emphasis"/>
    <w:basedOn w:val="9"/>
    <w:qFormat/>
    <w:uiPriority w:val="0"/>
    <w:rPr>
      <w:i/>
    </w:rPr>
  </w:style>
  <w:style w:type="character" w:styleId="12">
    <w:name w:val="Hyperlink"/>
    <w:basedOn w:val="9"/>
    <w:qFormat/>
    <w:uiPriority w:val="0"/>
    <w:rPr>
      <w:color w:val="0000FF"/>
      <w:u w:val="single"/>
    </w:rPr>
  </w:style>
  <w:style w:type="character" w:customStyle="1" w:styleId="13">
    <w:name w:val="页眉 Char"/>
    <w:basedOn w:val="9"/>
    <w:link w:val="6"/>
    <w:uiPriority w:val="0"/>
    <w:rPr>
      <w:rFonts w:asciiTheme="minorHAnsi" w:hAnsiTheme="minorHAnsi" w:eastAsiaTheme="minorEastAsia" w:cstheme="minorBidi"/>
      <w:kern w:val="2"/>
      <w:sz w:val="18"/>
      <w:szCs w:val="18"/>
    </w:rPr>
  </w:style>
  <w:style w:type="character" w:customStyle="1" w:styleId="14">
    <w:name w:val="页脚 Char"/>
    <w:basedOn w:val="9"/>
    <w:link w:val="5"/>
    <w:qFormat/>
    <w:uiPriority w:val="0"/>
    <w:rPr>
      <w:rFonts w:asciiTheme="minorHAnsi" w:hAnsiTheme="minorHAnsi" w:eastAsiaTheme="minorEastAsia" w:cstheme="minorBidi"/>
      <w:kern w:val="2"/>
      <w:sz w:val="18"/>
      <w:szCs w:val="18"/>
    </w:rPr>
  </w:style>
  <w:style w:type="character" w:customStyle="1" w:styleId="15">
    <w:name w:val="日期 Char"/>
    <w:basedOn w:val="9"/>
    <w:link w:val="4"/>
    <w:uiPriority w:val="0"/>
    <w:rPr>
      <w:rFonts w:asciiTheme="minorHAnsi" w:hAnsiTheme="minorHAnsi" w:eastAsiaTheme="minorEastAsia" w:cstheme="minorBidi"/>
      <w:kern w:val="2"/>
      <w:sz w:val="21"/>
      <w:szCs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Home</Company>
  <Pages>43</Pages>
  <Words>13014</Words>
  <Characters>13190</Characters>
  <Lines>97</Lines>
  <Paragraphs>27</Paragraphs>
  <TotalTime>40</TotalTime>
  <ScaleCrop>false</ScaleCrop>
  <LinksUpToDate>false</LinksUpToDate>
  <CharactersWithSpaces>13240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2023-09-27T01:35:00Z</dcterms:created>
  <dc:creator>HP</dc:creator>
  <cp:lastModifiedBy>WPS_1216545082</cp:lastModifiedBy>
  <dcterms:modified xsi:type="dcterms:W3CDTF">2026-08-29T07:59:01Z</dcterms:modified>
  <cp:revision>56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E5780F0ED5E640EEB94043CFA81B0D08_12</vt:lpwstr>
  </property>
  <property fmtid="{D5CDD505-2E9C-101B-9397-08002B2CF9AE}" pid="4" name="KSOTemplateDocerSaveRecord">
    <vt:lpwstr>eyJoZGlkIjoiYWQ5MzE3ZGRkNDJlNmQzY2MyNTlkMDMyNGZiNWQ1MzkiLCJ1c2VySWQiOiIxMjE2NTQ1MDgyIn0=</vt:lpwstr>
  </property>
</Properties>
</file>